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附件3：</w:t>
      </w:r>
    </w:p>
    <w:p>
      <w:pPr>
        <w:jc w:val="center"/>
        <w:rPr>
          <w:rFonts w:ascii="STZhongsong" w:hAnsi="STZhongsong" w:eastAsia="STZhongsong"/>
          <w:sz w:val="36"/>
          <w:szCs w:val="36"/>
        </w:rPr>
      </w:pPr>
      <w:r>
        <w:rPr>
          <w:rFonts w:ascii="STZhongsong" w:hAnsi="STZhongsong" w:eastAsia="STZhongsong"/>
          <w:sz w:val="36"/>
          <w:szCs w:val="36"/>
        </w:rPr>
        <w:t>团（总）支部“对标定级”参考标准</w:t>
      </w:r>
    </w:p>
    <w:tbl>
      <w:tblPr>
        <w:tblStyle w:val="4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52"/>
        <w:gridCol w:w="2175"/>
        <w:gridCol w:w="1428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考察</w:t>
            </w: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维度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分值占比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主要评价内容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具体指标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班子建设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15%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左右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1.班子配备齐整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书记配备齐整，随缺随补，按期换届；支书称职。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2.班子运转有序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支委分工明确，支委会运转正常、能发挥作用。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团员管理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20%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左右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3.团员信息完整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支部团员底数清晰，团员信息完整，能联系上。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4.入团程序规范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严格按程序发展团员；无突击发展团员、不满14周岁入团等现象；规范组织入团仪式。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5.基础团务规范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团员组织关系应转尽转、应接尽接；按时足额缴纳、上缴团费。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活动开展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20%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左右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6.经常开展团支部活动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团支部每月至少开展1次活动；每次团员参与率50%以上。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7.按规定召开组织生活会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定期开展组织生活会，每年不少于1次，有主题有记录。团总支书记、副书记编入一个团的支部，并参加所在团支部或者团小组组织生活。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制度落实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20%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左右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8.组织体系健全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隶属关系清晰；团总支至少有2个下属支部；规范设立、管理团小组。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9.“智慧团建”应用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团员、团组织、团干部信息完整；及时动态更新信息。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10.规范使用团的标识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落实团旗、团徽、团歌使用管理规定要求。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11.落实“三会两制一课”制度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团员大会一般每季度召开1次；支委会一般每月召开1次；团小组会根据需要随时召开；团员年度团籍注册工作与团员教育评议相结合，一般每年进行1次。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作用发挥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25%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左右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12.团员先进性得到彰显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团员全部成为注册志愿者并可查验；团员在工作、学习等方面发挥模范作用。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13.服务中心大局成效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围绕志愿服务、济困助学、就业创业、岗位建功、实践教育等领域，形成1项以上特色品牌活动，每季度组织开展活动不少于1次。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14.落实“推优入党”制度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积极主动向党组织推荐优秀团员，与党组织衔接顺畅，有具体的“推优”名单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自评定级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星团（总）支部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上级复核</w:t>
            </w:r>
          </w:p>
        </w:tc>
        <w:tc>
          <w:tcPr>
            <w:tcW w:w="3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星团（总）支部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6"/>
    <w:rsid w:val="00447A08"/>
    <w:rsid w:val="006B0E85"/>
    <w:rsid w:val="00811ED6"/>
    <w:rsid w:val="00D7421C"/>
    <w:rsid w:val="432D5122"/>
    <w:rsid w:val="64A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708</Characters>
  <Lines>5</Lines>
  <Paragraphs>1</Paragraphs>
  <TotalTime>4</TotalTime>
  <ScaleCrop>false</ScaleCrop>
  <LinksUpToDate>false</LinksUpToDate>
  <CharactersWithSpaces>831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2020-10-26T10:30:00Z</dcterms:created>
  <dc:creator>权 瑞</dc:creator>
  <cp:lastModifiedBy>权瑞瑞瑞瑞</cp:lastModifiedBy>
  <dcterms:modified xsi:type="dcterms:W3CDTF">2020-10-29T06:52:16Z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