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5BB1F9">
      <w:pPr>
        <w:pStyle w:val="2"/>
        <w:spacing w:before="936" w:after="312"/>
      </w:pPr>
      <w: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instrText xml:space="preserve">ADDIN CNKISM.UserStyle</w:instrText>
      </w:r>
      <w:r>
        <w:fldChar w:fldCharType="end"/>
      </w:r>
      <w:bookmarkStart w:id="0" w:name="_Toc89691568"/>
      <w:bookmarkStart w:id="1" w:name="_Toc89457151"/>
      <w:r>
        <w:rPr>
          <w:rFonts w:hint="eastAsia"/>
        </w:rPr>
        <w:t>西南财经大学工商管理学院推荐免试</w:t>
      </w:r>
      <w:r>
        <w:br w:type="textWrapping"/>
      </w:r>
      <w:r>
        <w:rPr>
          <w:rFonts w:hint="eastAsia"/>
        </w:rPr>
        <w:t>研究生工作实施细则</w:t>
      </w:r>
      <w:bookmarkEnd w:id="0"/>
      <w:bookmarkEnd w:id="1"/>
    </w:p>
    <w:p w14:paraId="20C98A46">
      <w:pPr>
        <w:pStyle w:val="4"/>
        <w:rPr>
          <w:bCs/>
        </w:rPr>
      </w:pPr>
      <w:r>
        <w:rPr>
          <w:rFonts w:hint="eastAsia"/>
        </w:rPr>
        <w:t>（2022年修订）</w:t>
      </w:r>
      <w:bookmarkStart w:id="2" w:name="_GoBack"/>
      <w:bookmarkEnd w:id="2"/>
    </w:p>
    <w:p w14:paraId="7CA56561">
      <w:pPr>
        <w:pStyle w:val="3"/>
        <w:spacing w:before="312" w:after="312"/>
      </w:pPr>
      <w:r>
        <w:rPr>
          <w:rFonts w:hint="eastAsia"/>
        </w:rPr>
        <w:t>第一章</w:t>
      </w:r>
      <w:r>
        <w:t xml:space="preserve">  </w:t>
      </w:r>
      <w:r>
        <w:rPr>
          <w:rFonts w:hint="eastAsia"/>
        </w:rPr>
        <w:t>总</w:t>
      </w:r>
      <w:r>
        <w:t xml:space="preserve">  </w:t>
      </w:r>
      <w:r>
        <w:rPr>
          <w:rFonts w:hint="eastAsia"/>
        </w:rPr>
        <w:t>则</w:t>
      </w:r>
    </w:p>
    <w:p w14:paraId="44F8077F">
      <w:pPr>
        <w:spacing w:line="560" w:lineRule="exact"/>
        <w:ind w:firstLine="562" w:firstLineChars="200"/>
        <w:rPr>
          <w:rFonts w:ascii="Times New Roman" w:hAnsi="Times New Roman" w:eastAsia="仿宋_GB2312"/>
          <w:sz w:val="28"/>
          <w:szCs w:val="28"/>
        </w:rPr>
      </w:pPr>
      <w:r>
        <w:rPr>
          <w:rFonts w:hint="eastAsia" w:ascii="Times New Roman" w:hAnsi="Times New Roman" w:eastAsia="仿宋_GB2312"/>
          <w:b/>
          <w:sz w:val="28"/>
          <w:szCs w:val="28"/>
        </w:rPr>
        <w:t>第一条</w:t>
      </w:r>
      <w:r>
        <w:rPr>
          <w:rFonts w:ascii="Times New Roman" w:hAnsi="Times New Roman" w:eastAsia="仿宋_GB2312"/>
          <w:sz w:val="28"/>
          <w:szCs w:val="28"/>
        </w:rPr>
        <w:t xml:space="preserve">  </w:t>
      </w:r>
      <w:r>
        <w:rPr>
          <w:rFonts w:hint="eastAsia" w:ascii="Times New Roman" w:hAnsi="Times New Roman" w:eastAsia="仿宋_GB2312"/>
          <w:sz w:val="28"/>
          <w:szCs w:val="28"/>
        </w:rPr>
        <w:t>为加大拔尖创新人才选拔力度，着力培养德智体美劳全面发展的社会主义建设者和接班人，依据国家有关规定和《西南财经大学推荐免试研究生管理办法》，</w:t>
      </w:r>
      <w:r>
        <w:rPr>
          <w:rFonts w:hint="eastAsia" w:ascii="Times New Roman" w:hAnsi="Times New Roman" w:eastAsia="仿宋_GB2312"/>
          <w:sz w:val="28"/>
          <w:szCs w:val="32"/>
        </w:rPr>
        <w:t>结合学院实际</w:t>
      </w:r>
      <w:r>
        <w:rPr>
          <w:rFonts w:hint="eastAsia" w:ascii="Times New Roman" w:hAnsi="Times New Roman" w:eastAsia="仿宋_GB2312"/>
          <w:sz w:val="28"/>
          <w:szCs w:val="28"/>
        </w:rPr>
        <w:t>，制定本细则。</w:t>
      </w:r>
    </w:p>
    <w:p w14:paraId="112D1307">
      <w:pPr>
        <w:spacing w:line="560" w:lineRule="exact"/>
        <w:ind w:firstLine="562" w:firstLineChars="200"/>
        <w:rPr>
          <w:rFonts w:ascii="Times New Roman" w:hAnsi="Times New Roman" w:eastAsia="仿宋_GB2312"/>
          <w:sz w:val="28"/>
          <w:szCs w:val="28"/>
        </w:rPr>
      </w:pPr>
      <w:r>
        <w:rPr>
          <w:rFonts w:hint="eastAsia" w:ascii="Times New Roman" w:hAnsi="Times New Roman" w:eastAsia="仿宋_GB2312"/>
          <w:b/>
          <w:sz w:val="28"/>
          <w:szCs w:val="28"/>
        </w:rPr>
        <w:t>第二条</w:t>
      </w:r>
      <w:r>
        <w:rPr>
          <w:rFonts w:ascii="Times New Roman" w:hAnsi="Times New Roman" w:eastAsia="仿宋_GB2312" w:cs="Times New Roman"/>
          <w:sz w:val="28"/>
          <w:szCs w:val="28"/>
        </w:rPr>
        <w:t xml:space="preserve">  </w:t>
      </w:r>
      <w:r>
        <w:rPr>
          <w:rFonts w:hint="eastAsia" w:ascii="Times New Roman" w:hAnsi="Times New Roman" w:eastAsia="仿宋_GB2312"/>
          <w:sz w:val="28"/>
          <w:szCs w:val="28"/>
        </w:rPr>
        <w:t>学院成立推荐优秀应届本科毕业生免试攻读硕士学位研究生（以下简称“推免生”）工作小组，由学院负责人及二名教授代表组成的免试生推荐工作小组（以下简称“学院工作小组”），承担本院推荐免试研究生的领导与具体实施工作。</w:t>
      </w:r>
    </w:p>
    <w:p w14:paraId="6169C3F6">
      <w:pPr>
        <w:pStyle w:val="3"/>
        <w:spacing w:before="312" w:after="312"/>
      </w:pPr>
      <w:r>
        <w:rPr>
          <w:rFonts w:hint="eastAsia"/>
        </w:rPr>
        <w:t>第二章</w:t>
      </w:r>
      <w:r>
        <w:t xml:space="preserve">  </w:t>
      </w:r>
      <w:r>
        <w:rPr>
          <w:rFonts w:hint="eastAsia"/>
        </w:rPr>
        <w:t>推荐条件和程序</w:t>
      </w:r>
    </w:p>
    <w:p w14:paraId="3DC2D075">
      <w:pPr>
        <w:spacing w:line="560" w:lineRule="exact"/>
        <w:ind w:firstLine="562" w:firstLineChars="200"/>
        <w:rPr>
          <w:rFonts w:ascii="Times New Roman" w:hAnsi="Times New Roman" w:eastAsia="仿宋_GB2312"/>
          <w:sz w:val="28"/>
          <w:szCs w:val="28"/>
        </w:rPr>
      </w:pPr>
      <w:r>
        <w:rPr>
          <w:rFonts w:hint="eastAsia" w:ascii="Times New Roman" w:hAnsi="Times New Roman" w:eastAsia="仿宋_GB2312"/>
          <w:b/>
          <w:sz w:val="28"/>
          <w:szCs w:val="28"/>
        </w:rPr>
        <w:t>第三条</w:t>
      </w:r>
      <w:r>
        <w:rPr>
          <w:rFonts w:ascii="Times New Roman" w:hAnsi="Times New Roman" w:eastAsia="仿宋_GB2312"/>
          <w:sz w:val="28"/>
          <w:szCs w:val="28"/>
        </w:rPr>
        <w:t xml:space="preserve">  </w:t>
      </w:r>
      <w:r>
        <w:rPr>
          <w:rFonts w:hint="eastAsia" w:ascii="Times New Roman" w:hAnsi="Times New Roman" w:eastAsia="仿宋_GB2312"/>
          <w:sz w:val="28"/>
          <w:szCs w:val="28"/>
        </w:rPr>
        <w:t>推免生基本条件</w:t>
      </w:r>
    </w:p>
    <w:p w14:paraId="24F4DB56">
      <w:pPr>
        <w:spacing w:line="56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（一）拥护中国共产党的领导，热爱祖国，品德优良，遵纪守法，身心健康。</w:t>
      </w:r>
    </w:p>
    <w:p w14:paraId="760B44F6">
      <w:pPr>
        <w:spacing w:line="56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（二）纳入国家普通本科招生计划录取的应届本科毕业生（不含第二学士学位学生）。</w:t>
      </w:r>
    </w:p>
    <w:p w14:paraId="2271A7CE">
      <w:pPr>
        <w:spacing w:line="56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（三）诚实守信，学风端正，在校期间品学兼优，无考试作弊和学术不端行为记录，无未解除的纪律处分。</w:t>
      </w:r>
    </w:p>
    <w:p w14:paraId="1C0D0961">
      <w:pPr>
        <w:spacing w:line="56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（四）学术研究兴趣浓厚，有较强的创新意识、创新能力和专业能力。</w:t>
      </w:r>
    </w:p>
    <w:p w14:paraId="1B0C811E">
      <w:pPr>
        <w:spacing w:line="56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（五）满足以下学业条件</w:t>
      </w:r>
    </w:p>
    <w:p w14:paraId="1DD5122C">
      <w:pPr>
        <w:spacing w:line="56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1.</w:t>
      </w:r>
      <w:r>
        <w:rPr>
          <w:rFonts w:hint="eastAsia" w:ascii="Times New Roman" w:hAnsi="Times New Roman" w:eastAsia="仿宋_GB2312"/>
          <w:sz w:val="28"/>
          <w:szCs w:val="28"/>
        </w:rPr>
        <w:t>学分条件</w:t>
      </w:r>
    </w:p>
    <w:p w14:paraId="6C763F3D">
      <w:pPr>
        <w:spacing w:line="56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修读并获得本专业人才培养方案规定的前三学年全部必修学分。如因学校或学院更改教学计划导致的必修课程未开设，不影响学生报名资格。</w:t>
      </w:r>
    </w:p>
    <w:p w14:paraId="619276B0">
      <w:pPr>
        <w:spacing w:line="56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2.</w:t>
      </w:r>
      <w:r>
        <w:rPr>
          <w:rFonts w:hint="eastAsia" w:ascii="Times New Roman" w:hAnsi="Times New Roman" w:eastAsia="仿宋_GB2312"/>
          <w:sz w:val="28"/>
          <w:szCs w:val="28"/>
        </w:rPr>
        <w:t>成绩条件</w:t>
      </w:r>
    </w:p>
    <w:p w14:paraId="30FF6B19">
      <w:pPr>
        <w:spacing w:line="56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前三年平均学分绩点（按第一次总评成绩计算）在</w:t>
      </w:r>
      <w:r>
        <w:rPr>
          <w:rFonts w:ascii="Times New Roman" w:hAnsi="Times New Roman" w:eastAsia="仿宋_GB2312"/>
          <w:sz w:val="28"/>
          <w:szCs w:val="28"/>
        </w:rPr>
        <w:t>3.0</w:t>
      </w:r>
      <w:r>
        <w:rPr>
          <w:rFonts w:hint="eastAsia" w:ascii="Times New Roman" w:hAnsi="Times New Roman" w:eastAsia="仿宋_GB2312"/>
          <w:sz w:val="28"/>
          <w:szCs w:val="28"/>
        </w:rPr>
        <w:t>及以上。原则上只计算本专业培养方案中前三学年的通识教育基础课程、大学科基础课程及专业必修课程成绩。</w:t>
      </w:r>
    </w:p>
    <w:p w14:paraId="7F9C17F8">
      <w:pPr>
        <w:spacing w:line="56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3.</w:t>
      </w:r>
      <w:r>
        <w:rPr>
          <w:rFonts w:hint="eastAsia" w:ascii="Times New Roman" w:hAnsi="Times New Roman" w:eastAsia="仿宋_GB2312"/>
          <w:sz w:val="28"/>
          <w:szCs w:val="28"/>
        </w:rPr>
        <w:t>外语条件</w:t>
      </w:r>
    </w:p>
    <w:p w14:paraId="4B3FAF97">
      <w:pPr>
        <w:spacing w:line="56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w:t>
      </w:r>
      <w:r>
        <w:rPr>
          <w:rFonts w:ascii="Times New Roman" w:hAnsi="Times New Roman" w:eastAsia="仿宋_GB2312"/>
          <w:sz w:val="28"/>
          <w:szCs w:val="28"/>
        </w:rPr>
        <w:t>1</w:t>
      </w:r>
      <w:r>
        <w:rPr>
          <w:rFonts w:hint="eastAsia" w:ascii="Times New Roman" w:hAnsi="Times New Roman" w:eastAsia="仿宋_GB2312"/>
          <w:sz w:val="28"/>
          <w:szCs w:val="28"/>
        </w:rPr>
        <w:t>）涉外专业（含双语实验班、经济与管理国际化创新人才班、</w:t>
      </w:r>
      <w:r>
        <w:rPr>
          <w:rFonts w:ascii="Times New Roman" w:hAnsi="Times New Roman" w:eastAsia="仿宋_GB2312"/>
          <w:sz w:val="28"/>
          <w:szCs w:val="28"/>
        </w:rPr>
        <w:t>CFA</w:t>
      </w:r>
      <w:r>
        <w:rPr>
          <w:rFonts w:hint="eastAsia" w:ascii="Times New Roman" w:hAnsi="Times New Roman" w:eastAsia="仿宋_GB2312"/>
          <w:sz w:val="28"/>
          <w:szCs w:val="28"/>
        </w:rPr>
        <w:t>国际化实验班、中外合作办学项目、中外合作办学机构）学生外语水平满足以下条件之一：大学英语（或其它语种）六级考试成绩在</w:t>
      </w:r>
      <w:r>
        <w:rPr>
          <w:rFonts w:ascii="Times New Roman" w:hAnsi="Times New Roman" w:eastAsia="仿宋_GB2312"/>
          <w:sz w:val="28"/>
          <w:szCs w:val="28"/>
        </w:rPr>
        <w:t>530</w:t>
      </w:r>
      <w:r>
        <w:rPr>
          <w:rFonts w:hint="eastAsia" w:ascii="Times New Roman" w:hAnsi="Times New Roman" w:eastAsia="仿宋_GB2312"/>
          <w:sz w:val="28"/>
          <w:szCs w:val="28"/>
        </w:rPr>
        <w:t>分及以上；雅思</w:t>
      </w:r>
      <w:r>
        <w:rPr>
          <w:rFonts w:ascii="Times New Roman" w:hAnsi="Times New Roman" w:eastAsia="仿宋_GB2312"/>
          <w:sz w:val="28"/>
          <w:szCs w:val="28"/>
        </w:rPr>
        <w:t>IELTS</w:t>
      </w:r>
      <w:r>
        <w:rPr>
          <w:rFonts w:hint="eastAsia" w:ascii="Times New Roman" w:hAnsi="Times New Roman" w:eastAsia="仿宋_GB2312"/>
          <w:sz w:val="28"/>
          <w:szCs w:val="28"/>
        </w:rPr>
        <w:t>成绩</w:t>
      </w:r>
      <w:r>
        <w:rPr>
          <w:rFonts w:ascii="Times New Roman" w:hAnsi="Times New Roman" w:eastAsia="仿宋_GB2312"/>
          <w:sz w:val="28"/>
          <w:szCs w:val="28"/>
        </w:rPr>
        <w:t>6.5</w:t>
      </w:r>
      <w:r>
        <w:rPr>
          <w:rFonts w:hint="eastAsia" w:ascii="Times New Roman" w:hAnsi="Times New Roman" w:eastAsia="仿宋_GB2312"/>
          <w:sz w:val="28"/>
          <w:szCs w:val="28"/>
        </w:rPr>
        <w:t>及以上；托福</w:t>
      </w:r>
      <w:r>
        <w:rPr>
          <w:rFonts w:ascii="Times New Roman" w:hAnsi="Times New Roman" w:eastAsia="仿宋_GB2312"/>
          <w:sz w:val="28"/>
          <w:szCs w:val="28"/>
        </w:rPr>
        <w:t>TOFEL</w:t>
      </w:r>
      <w:r>
        <w:rPr>
          <w:rFonts w:hint="eastAsia" w:ascii="Times New Roman" w:hAnsi="Times New Roman" w:eastAsia="仿宋_GB2312"/>
          <w:sz w:val="28"/>
          <w:szCs w:val="28"/>
        </w:rPr>
        <w:t>、</w:t>
      </w:r>
      <w:r>
        <w:rPr>
          <w:rFonts w:ascii="Times New Roman" w:hAnsi="Times New Roman" w:eastAsia="仿宋_GB2312"/>
          <w:sz w:val="28"/>
          <w:szCs w:val="28"/>
        </w:rPr>
        <w:t>GMAT</w:t>
      </w:r>
      <w:r>
        <w:rPr>
          <w:rFonts w:hint="eastAsia" w:ascii="Times New Roman" w:hAnsi="Times New Roman" w:eastAsia="仿宋_GB2312"/>
          <w:sz w:val="28"/>
          <w:szCs w:val="28"/>
        </w:rPr>
        <w:t>成绩达到满分的</w:t>
      </w:r>
      <w:r>
        <w:rPr>
          <w:rFonts w:ascii="Times New Roman" w:hAnsi="Times New Roman" w:eastAsia="仿宋_GB2312"/>
          <w:sz w:val="28"/>
          <w:szCs w:val="28"/>
        </w:rPr>
        <w:t>70</w:t>
      </w:r>
      <w:r>
        <w:rPr>
          <w:rFonts w:hint="eastAsia" w:ascii="Times New Roman" w:hAnsi="Times New Roman" w:eastAsia="仿宋_GB2312"/>
          <w:sz w:val="28"/>
          <w:szCs w:val="28"/>
        </w:rPr>
        <w:t>％及以上；</w:t>
      </w:r>
      <w:r>
        <w:rPr>
          <w:rFonts w:ascii="Times New Roman" w:hAnsi="Times New Roman" w:eastAsia="仿宋_GB2312" w:cs="Times New Roman"/>
          <w:kern w:val="0"/>
          <w:sz w:val="28"/>
          <w:szCs w:val="28"/>
        </w:rPr>
        <w:t>GRE</w:t>
      </w:r>
      <w:r>
        <w:rPr>
          <w:rFonts w:hint="eastAsia" w:ascii="Times New Roman" w:hAnsi="Times New Roman" w:eastAsia="仿宋_GB2312" w:cs="Times New Roman"/>
          <w:kern w:val="0"/>
          <w:sz w:val="28"/>
          <w:szCs w:val="28"/>
        </w:rPr>
        <w:t>成绩达到</w:t>
      </w:r>
      <w:r>
        <w:rPr>
          <w:rFonts w:ascii="Times New Roman" w:hAnsi="Times New Roman" w:eastAsia="仿宋_GB2312" w:cs="Times New Roman"/>
          <w:kern w:val="0"/>
          <w:sz w:val="28"/>
          <w:szCs w:val="28"/>
        </w:rPr>
        <w:t>315</w:t>
      </w:r>
      <w:r>
        <w:rPr>
          <w:rFonts w:hint="eastAsia" w:ascii="Times New Roman" w:hAnsi="Times New Roman" w:eastAsia="仿宋_GB2312" w:cs="Times New Roman"/>
          <w:kern w:val="0"/>
          <w:sz w:val="28"/>
          <w:szCs w:val="28"/>
        </w:rPr>
        <w:t>分及以上</w:t>
      </w:r>
      <w:r>
        <w:rPr>
          <w:rFonts w:hint="eastAsia" w:ascii="Times New Roman" w:hAnsi="Times New Roman" w:eastAsia="仿宋_GB2312"/>
          <w:sz w:val="28"/>
          <w:szCs w:val="28"/>
        </w:rPr>
        <w:t>。</w:t>
      </w:r>
    </w:p>
    <w:p w14:paraId="4306B6FC">
      <w:pPr>
        <w:spacing w:line="56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w:t>
      </w:r>
      <w:r>
        <w:rPr>
          <w:rFonts w:ascii="Times New Roman" w:hAnsi="Times New Roman" w:eastAsia="仿宋_GB2312"/>
          <w:sz w:val="28"/>
          <w:szCs w:val="28"/>
        </w:rPr>
        <w:t>2</w:t>
      </w:r>
      <w:r>
        <w:rPr>
          <w:rFonts w:hint="eastAsia" w:ascii="Times New Roman" w:hAnsi="Times New Roman" w:eastAsia="仿宋_GB2312"/>
          <w:sz w:val="28"/>
          <w:szCs w:val="28"/>
        </w:rPr>
        <w:t>）非涉外专业（除外国语言文学类专业和涉外专业外的其他专业）学生外语水平满足以下条件之一：大学英语（或其它语种）四级考试成绩在</w:t>
      </w:r>
      <w:r>
        <w:rPr>
          <w:rFonts w:ascii="Times New Roman" w:hAnsi="Times New Roman" w:eastAsia="仿宋_GB2312"/>
          <w:sz w:val="28"/>
          <w:szCs w:val="28"/>
        </w:rPr>
        <w:t xml:space="preserve"> 530 </w:t>
      </w:r>
      <w:r>
        <w:rPr>
          <w:rFonts w:hint="eastAsia" w:ascii="Times New Roman" w:hAnsi="Times New Roman" w:eastAsia="仿宋_GB2312"/>
          <w:sz w:val="28"/>
          <w:szCs w:val="28"/>
        </w:rPr>
        <w:t>分及以上；大学英语（或其它语种）六级考试成绩在</w:t>
      </w:r>
      <w:r>
        <w:rPr>
          <w:rFonts w:ascii="Times New Roman" w:hAnsi="Times New Roman" w:eastAsia="仿宋_GB2312"/>
          <w:sz w:val="28"/>
          <w:szCs w:val="28"/>
        </w:rPr>
        <w:t xml:space="preserve"> 430 </w:t>
      </w:r>
      <w:r>
        <w:rPr>
          <w:rFonts w:hint="eastAsia" w:ascii="Times New Roman" w:hAnsi="Times New Roman" w:eastAsia="仿宋_GB2312"/>
          <w:sz w:val="28"/>
          <w:szCs w:val="28"/>
        </w:rPr>
        <w:t>分及以上；雅思</w:t>
      </w:r>
      <w:r>
        <w:rPr>
          <w:rFonts w:ascii="Times New Roman" w:hAnsi="Times New Roman" w:eastAsia="仿宋_GB2312"/>
          <w:sz w:val="28"/>
          <w:szCs w:val="28"/>
        </w:rPr>
        <w:t>IELTS</w:t>
      </w:r>
      <w:r>
        <w:rPr>
          <w:rFonts w:hint="eastAsia" w:ascii="Times New Roman" w:hAnsi="Times New Roman" w:eastAsia="仿宋_GB2312"/>
          <w:sz w:val="28"/>
          <w:szCs w:val="28"/>
        </w:rPr>
        <w:t>成绩</w:t>
      </w:r>
      <w:r>
        <w:rPr>
          <w:rFonts w:ascii="Times New Roman" w:hAnsi="Times New Roman" w:eastAsia="仿宋_GB2312"/>
          <w:sz w:val="28"/>
          <w:szCs w:val="28"/>
        </w:rPr>
        <w:t>6.0</w:t>
      </w:r>
      <w:r>
        <w:rPr>
          <w:rFonts w:hint="eastAsia" w:ascii="Times New Roman" w:hAnsi="Times New Roman" w:eastAsia="仿宋_GB2312"/>
          <w:sz w:val="28"/>
          <w:szCs w:val="28"/>
        </w:rPr>
        <w:t>及以上；托福</w:t>
      </w:r>
      <w:r>
        <w:rPr>
          <w:rFonts w:ascii="Times New Roman" w:hAnsi="Times New Roman" w:eastAsia="仿宋_GB2312"/>
          <w:sz w:val="28"/>
          <w:szCs w:val="28"/>
        </w:rPr>
        <w:t>TOFEL</w:t>
      </w:r>
      <w:r>
        <w:rPr>
          <w:rFonts w:hint="eastAsia" w:ascii="Times New Roman" w:hAnsi="Times New Roman" w:eastAsia="仿宋_GB2312"/>
          <w:sz w:val="28"/>
          <w:szCs w:val="28"/>
        </w:rPr>
        <w:t>、</w:t>
      </w:r>
      <w:r>
        <w:rPr>
          <w:rFonts w:ascii="Times New Roman" w:hAnsi="Times New Roman" w:eastAsia="仿宋_GB2312"/>
          <w:sz w:val="28"/>
          <w:szCs w:val="28"/>
        </w:rPr>
        <w:t>GMAT</w:t>
      </w:r>
      <w:r>
        <w:rPr>
          <w:rFonts w:hint="eastAsia" w:ascii="Times New Roman" w:hAnsi="Times New Roman" w:eastAsia="仿宋_GB2312"/>
          <w:sz w:val="28"/>
          <w:szCs w:val="28"/>
        </w:rPr>
        <w:t>成绩达到满分的</w:t>
      </w:r>
      <w:r>
        <w:rPr>
          <w:rFonts w:ascii="Times New Roman" w:hAnsi="Times New Roman" w:eastAsia="仿宋_GB2312"/>
          <w:sz w:val="28"/>
          <w:szCs w:val="28"/>
        </w:rPr>
        <w:t>65</w:t>
      </w:r>
      <w:r>
        <w:rPr>
          <w:rFonts w:hint="eastAsia" w:ascii="Times New Roman" w:hAnsi="Times New Roman" w:eastAsia="仿宋_GB2312"/>
          <w:sz w:val="28"/>
          <w:szCs w:val="28"/>
        </w:rPr>
        <w:t>％及以上；</w:t>
      </w:r>
      <w:r>
        <w:rPr>
          <w:rFonts w:ascii="Times New Roman" w:hAnsi="Times New Roman" w:eastAsia="仿宋_GB2312" w:cs="Times New Roman"/>
          <w:kern w:val="0"/>
          <w:sz w:val="28"/>
          <w:szCs w:val="28"/>
        </w:rPr>
        <w:t>GRE</w:t>
      </w:r>
      <w:r>
        <w:rPr>
          <w:rFonts w:hint="eastAsia" w:ascii="Times New Roman" w:hAnsi="Times New Roman" w:eastAsia="仿宋_GB2312" w:cs="Times New Roman"/>
          <w:kern w:val="0"/>
          <w:sz w:val="28"/>
          <w:szCs w:val="28"/>
        </w:rPr>
        <w:t>成绩达到</w:t>
      </w:r>
      <w:r>
        <w:rPr>
          <w:rFonts w:ascii="Times New Roman" w:hAnsi="Times New Roman" w:eastAsia="仿宋_GB2312" w:cs="Times New Roman"/>
          <w:kern w:val="0"/>
          <w:sz w:val="28"/>
          <w:szCs w:val="28"/>
        </w:rPr>
        <w:t>310</w:t>
      </w:r>
      <w:r>
        <w:rPr>
          <w:rFonts w:hint="eastAsia" w:ascii="Times New Roman" w:hAnsi="Times New Roman" w:eastAsia="仿宋_GB2312" w:cs="Times New Roman"/>
          <w:kern w:val="0"/>
          <w:sz w:val="28"/>
          <w:szCs w:val="28"/>
        </w:rPr>
        <w:t>分及以上</w:t>
      </w:r>
      <w:r>
        <w:rPr>
          <w:rFonts w:hint="eastAsia" w:ascii="Times New Roman" w:hAnsi="Times New Roman" w:eastAsia="仿宋_GB2312"/>
          <w:sz w:val="28"/>
          <w:szCs w:val="28"/>
        </w:rPr>
        <w:t>。</w:t>
      </w:r>
    </w:p>
    <w:p w14:paraId="55F9F357">
      <w:pPr>
        <w:spacing w:line="56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上述外语成绩均应为在大学期间参加考试并取得的成绩。外语成绩截止日期同报名截止时间一致。</w:t>
      </w:r>
    </w:p>
    <w:p w14:paraId="02A54A30">
      <w:pPr>
        <w:spacing w:line="560" w:lineRule="exact"/>
        <w:ind w:firstLine="562" w:firstLineChars="200"/>
        <w:rPr>
          <w:rFonts w:ascii="Times New Roman" w:hAnsi="Times New Roman" w:eastAsia="仿宋_GB2312"/>
          <w:sz w:val="28"/>
          <w:szCs w:val="28"/>
        </w:rPr>
      </w:pPr>
      <w:r>
        <w:rPr>
          <w:rFonts w:hint="eastAsia" w:ascii="Times New Roman" w:hAnsi="Times New Roman" w:eastAsia="仿宋_GB2312"/>
          <w:b/>
          <w:sz w:val="28"/>
          <w:szCs w:val="28"/>
        </w:rPr>
        <w:t>第四条</w:t>
      </w:r>
      <w:r>
        <w:rPr>
          <w:rFonts w:ascii="Times New Roman" w:hAnsi="Times New Roman" w:eastAsia="仿宋_GB2312"/>
          <w:sz w:val="28"/>
          <w:szCs w:val="28"/>
        </w:rPr>
        <w:t xml:space="preserve">  </w:t>
      </w:r>
      <w:r>
        <w:rPr>
          <w:rFonts w:hint="eastAsia" w:ascii="Times New Roman" w:hAnsi="Times New Roman" w:eastAsia="仿宋_GB2312"/>
          <w:sz w:val="28"/>
          <w:szCs w:val="28"/>
        </w:rPr>
        <w:t>推荐工作程序</w:t>
      </w:r>
    </w:p>
    <w:p w14:paraId="4D57CE26">
      <w:pPr>
        <w:spacing w:line="56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（一）学院工作小组根据学校推免生推荐工作计划制定本学院工作计划，向学生进行宣传并接受报名。</w:t>
      </w:r>
    </w:p>
    <w:p w14:paraId="602AE4A6">
      <w:pPr>
        <w:spacing w:line="56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（二）学生符合本办法第三条所规定的条件，可向学院提交申请及相应证明材料。</w:t>
      </w:r>
    </w:p>
    <w:p w14:paraId="0DFFB9DF">
      <w:pPr>
        <w:spacing w:line="56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（三）学院工作小组对申请学生进行资格审核，凡符合要求者，由学院工作小组对申请学生进行综合测评，并按综合测评成绩排序后在本学院内向学生公示名单。</w:t>
      </w:r>
    </w:p>
    <w:p w14:paraId="2AAA08E8">
      <w:pPr>
        <w:spacing w:line="56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排名原则：各专业按</w:t>
      </w:r>
      <w:r>
        <w:rPr>
          <w:rFonts w:ascii="Times New Roman" w:hAnsi="Times New Roman" w:eastAsia="仿宋_GB2312"/>
          <w:sz w:val="28"/>
          <w:szCs w:val="28"/>
        </w:rPr>
        <w:t>照</w:t>
      </w:r>
      <w:r>
        <w:rPr>
          <w:rFonts w:hint="eastAsia" w:ascii="Times New Roman" w:hAnsi="Times New Roman" w:eastAsia="仿宋_GB2312"/>
          <w:sz w:val="28"/>
          <w:szCs w:val="28"/>
        </w:rPr>
        <w:t>综合测评成绩由高到低排序。如果综合测评成绩一样，则按照学业成绩高低进行排序。</w:t>
      </w:r>
    </w:p>
    <w:p w14:paraId="2F979859">
      <w:pPr>
        <w:spacing w:line="56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测评坚持德智体美劳全面衡量，以德为先，把学生思想品德考核作为推免生遴选的重要内容和录取的重要依据，注重对学生政治态度、思想表现、道德品质、科学精神、诚实守信、遵纪守法等方面的考察。思想品德考核不合格者不予推荐。</w:t>
      </w:r>
    </w:p>
    <w:p w14:paraId="26841FF0">
      <w:pPr>
        <w:spacing w:line="56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突出考查学生的一贯学业表现。注重对学生本科阶段学习情况的过程性评价，将本科阶段学业综合成绩作为推免工作的基础遴选指标。</w:t>
      </w:r>
    </w:p>
    <w:p w14:paraId="2ABAEA11">
      <w:pPr>
        <w:spacing w:line="56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将学生参加入伍服兵役、参加志愿服务、到国际组织实习、科研成果、竞赛获奖等纳入推免遴选指标体系。</w:t>
      </w:r>
    </w:p>
    <w:p w14:paraId="42483470">
      <w:pPr>
        <w:spacing w:line="56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32"/>
        </w:rPr>
        <w:t>加强对推免生学术专长的审核。</w:t>
      </w:r>
      <w:r>
        <w:rPr>
          <w:rFonts w:hint="eastAsia" w:ascii="Times New Roman" w:hAnsi="Times New Roman" w:eastAsia="仿宋_GB2312"/>
          <w:sz w:val="28"/>
          <w:szCs w:val="28"/>
        </w:rPr>
        <w:t>成立专家审核小组对申请推免资格学生的科研创新成果、论文（文章）、竞赛获奖奖项及内容进行审核鉴定，排除抄袭、造假、冒名及有名无实等情况，并组织相关学生在一定范围进行公开答辩，未通过审核鉴定或答辩的，不得纳入推免遴选综合评价成绩计算体系。</w:t>
      </w:r>
    </w:p>
    <w:p w14:paraId="48DF5623">
      <w:pPr>
        <w:spacing w:line="56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（四）学校领导小组根据教育部规定，综合考虑学院应届毕业生总数、深造率、学科发展情况等因素，确定下达各学院推免生指标。</w:t>
      </w:r>
    </w:p>
    <w:p w14:paraId="76CF5E04">
      <w:pPr>
        <w:spacing w:line="56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（五）学院工作小组根据学校领导小组下达的推免生指标，按照公示的推免生综合测评成绩排名顺序，择优确定学院推荐名单。</w:t>
      </w:r>
    </w:p>
    <w:p w14:paraId="11CD77E3">
      <w:pPr>
        <w:spacing w:line="56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（六）学校复审学院推荐名单并公示，公示期间若有学生被取消资格或自愿放弃，学院可按照排名顺序依次递补。公示期结束，不再进行递补工作，推荐名单报校务会审批后向学校党委汇报。</w:t>
      </w:r>
    </w:p>
    <w:p w14:paraId="35EA7A58">
      <w:pPr>
        <w:pStyle w:val="3"/>
        <w:spacing w:before="312" w:after="312"/>
      </w:pPr>
      <w:r>
        <w:rPr>
          <w:rFonts w:hint="eastAsia"/>
        </w:rPr>
        <w:t>第三章</w:t>
      </w:r>
      <w:r>
        <w:t xml:space="preserve">  </w:t>
      </w:r>
      <w:r>
        <w:rPr>
          <w:rFonts w:hint="eastAsia"/>
        </w:rPr>
        <w:t>综合测评</w:t>
      </w:r>
    </w:p>
    <w:p w14:paraId="0384891B">
      <w:pPr>
        <w:spacing w:line="560" w:lineRule="exact"/>
        <w:ind w:firstLine="562" w:firstLineChars="200"/>
        <w:rPr>
          <w:rFonts w:ascii="Times New Roman" w:hAnsi="Times New Roman" w:eastAsia="仿宋_GB2312"/>
          <w:sz w:val="28"/>
          <w:szCs w:val="28"/>
        </w:rPr>
      </w:pPr>
      <w:r>
        <w:rPr>
          <w:rFonts w:hint="eastAsia" w:ascii="Times New Roman" w:hAnsi="Times New Roman" w:eastAsia="仿宋_GB2312"/>
          <w:b/>
          <w:sz w:val="28"/>
          <w:szCs w:val="28"/>
        </w:rPr>
        <w:t>第五条</w:t>
      </w:r>
      <w:r>
        <w:rPr>
          <w:rFonts w:ascii="Times New Roman" w:hAnsi="Times New Roman" w:eastAsia="仿宋_GB2312"/>
          <w:sz w:val="28"/>
          <w:szCs w:val="28"/>
        </w:rPr>
        <w:t xml:space="preserve">  </w:t>
      </w:r>
      <w:r>
        <w:rPr>
          <w:rFonts w:hint="eastAsia" w:ascii="Times New Roman" w:hAnsi="Times New Roman" w:eastAsia="仿宋_GB2312"/>
          <w:sz w:val="28"/>
          <w:szCs w:val="28"/>
        </w:rPr>
        <w:t>学院工作小组根据申请学生的思想品德情况、学业成绩、学术专长、参加入伍服兵役、参加志愿服务、到国际组织实习、科研成果、竞赛获奖等符合全面发展价值导向的因素进行综合测评，各专业按</w:t>
      </w:r>
      <w:r>
        <w:rPr>
          <w:rFonts w:ascii="Times New Roman" w:hAnsi="Times New Roman" w:eastAsia="仿宋_GB2312"/>
          <w:sz w:val="28"/>
          <w:szCs w:val="28"/>
        </w:rPr>
        <w:t>照</w:t>
      </w:r>
      <w:r>
        <w:rPr>
          <w:rFonts w:hint="eastAsia" w:ascii="Times New Roman" w:hAnsi="Times New Roman" w:eastAsia="仿宋_GB2312"/>
          <w:sz w:val="28"/>
          <w:szCs w:val="28"/>
        </w:rPr>
        <w:t>综合测评成绩由高到低排序（如果综合测评成绩一样，则按照学业成绩高低进行排序）并在学院内向学生公示名单。</w:t>
      </w:r>
    </w:p>
    <w:p w14:paraId="0BFCC06E">
      <w:pPr>
        <w:spacing w:line="560" w:lineRule="exact"/>
        <w:ind w:firstLine="562" w:firstLineChars="200"/>
        <w:rPr>
          <w:rFonts w:ascii="Times New Roman" w:hAnsi="Times New Roman" w:eastAsia="仿宋_GB2312"/>
          <w:sz w:val="28"/>
          <w:szCs w:val="28"/>
        </w:rPr>
      </w:pPr>
      <w:r>
        <w:rPr>
          <w:rFonts w:hint="eastAsia" w:ascii="Times New Roman" w:hAnsi="Times New Roman" w:eastAsia="仿宋_GB2312"/>
          <w:b/>
          <w:sz w:val="28"/>
          <w:szCs w:val="28"/>
        </w:rPr>
        <w:t>第六条</w:t>
      </w:r>
      <w:r>
        <w:rPr>
          <w:rFonts w:ascii="Times New Roman" w:hAnsi="Times New Roman" w:eastAsia="仿宋_GB2312"/>
          <w:sz w:val="28"/>
          <w:szCs w:val="28"/>
        </w:rPr>
        <w:t xml:space="preserve">  </w:t>
      </w:r>
      <w:r>
        <w:rPr>
          <w:rFonts w:hint="eastAsia" w:ascii="Times New Roman" w:hAnsi="Times New Roman" w:eastAsia="仿宋_GB2312"/>
          <w:sz w:val="28"/>
          <w:szCs w:val="28"/>
        </w:rPr>
        <w:t>综合测评成绩构成</w:t>
      </w:r>
    </w:p>
    <w:p w14:paraId="68650EFD">
      <w:pPr>
        <w:spacing w:line="56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综合测评成绩</w:t>
      </w:r>
      <w:r>
        <w:rPr>
          <w:rFonts w:ascii="Times New Roman" w:hAnsi="Times New Roman" w:eastAsia="仿宋_GB2312"/>
          <w:sz w:val="28"/>
          <w:szCs w:val="28"/>
        </w:rPr>
        <w:t>=</w:t>
      </w:r>
      <w:r>
        <w:rPr>
          <w:rFonts w:hint="eastAsia" w:ascii="Times New Roman" w:hAnsi="Times New Roman" w:eastAsia="仿宋_GB2312"/>
          <w:sz w:val="28"/>
          <w:szCs w:val="28"/>
        </w:rPr>
        <w:t>学业成绩×</w:t>
      </w:r>
      <w:r>
        <w:rPr>
          <w:rFonts w:ascii="Times New Roman" w:hAnsi="Times New Roman" w:eastAsia="仿宋_GB2312"/>
          <w:sz w:val="28"/>
          <w:szCs w:val="28"/>
        </w:rPr>
        <w:t>70%+</w:t>
      </w:r>
      <w:r>
        <w:rPr>
          <w:rFonts w:hint="eastAsia" w:ascii="Times New Roman" w:hAnsi="Times New Roman" w:eastAsia="仿宋_GB2312"/>
          <w:sz w:val="28"/>
          <w:szCs w:val="28"/>
        </w:rPr>
        <w:t>综合能力加分（含拔尖项目加分）×</w:t>
      </w:r>
      <w:r>
        <w:rPr>
          <w:rFonts w:ascii="Times New Roman" w:hAnsi="Times New Roman" w:eastAsia="仿宋_GB2312"/>
          <w:sz w:val="28"/>
          <w:szCs w:val="28"/>
        </w:rPr>
        <w:t>30%</w:t>
      </w:r>
    </w:p>
    <w:p w14:paraId="2C7E4996">
      <w:pPr>
        <w:spacing w:line="56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（一）学业成绩</w:t>
      </w:r>
    </w:p>
    <w:p w14:paraId="00CFA338">
      <w:pPr>
        <w:spacing w:line="56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学业成绩满分</w:t>
      </w:r>
      <w:r>
        <w:rPr>
          <w:rFonts w:ascii="Times New Roman" w:hAnsi="Times New Roman" w:eastAsia="仿宋_GB2312"/>
          <w:sz w:val="28"/>
          <w:szCs w:val="28"/>
        </w:rPr>
        <w:t>100</w:t>
      </w:r>
      <w:r>
        <w:rPr>
          <w:rFonts w:hint="eastAsia" w:ascii="Times New Roman" w:hAnsi="Times New Roman" w:eastAsia="仿宋_GB2312"/>
          <w:sz w:val="28"/>
          <w:szCs w:val="28"/>
        </w:rPr>
        <w:t>分。</w:t>
      </w:r>
    </w:p>
    <w:p w14:paraId="746E1FD9">
      <w:pPr>
        <w:spacing w:line="56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学业成绩</w:t>
      </w:r>
      <w:r>
        <w:rPr>
          <w:rFonts w:ascii="Times New Roman" w:hAnsi="Times New Roman" w:eastAsia="仿宋_GB2312"/>
          <w:sz w:val="28"/>
          <w:szCs w:val="28"/>
        </w:rPr>
        <w:t>=</w:t>
      </w:r>
      <w:r>
        <w:rPr>
          <w:rFonts w:hint="eastAsia" w:ascii="Times New Roman" w:hAnsi="Times New Roman" w:eastAsia="仿宋_GB2312"/>
          <w:sz w:val="28"/>
          <w:szCs w:val="28"/>
        </w:rPr>
        <w:t>∑（某门课程成绩</w:t>
      </w:r>
      <w:r>
        <w:rPr>
          <w:rFonts w:ascii="Times New Roman" w:hAnsi="Times New Roman" w:eastAsia="仿宋_GB2312"/>
          <w:sz w:val="28"/>
          <w:szCs w:val="28"/>
        </w:rPr>
        <w:t>×</w:t>
      </w:r>
      <w:r>
        <w:rPr>
          <w:rFonts w:hint="eastAsia" w:ascii="Times New Roman" w:hAnsi="Times New Roman" w:eastAsia="仿宋_GB2312"/>
          <w:sz w:val="28"/>
          <w:szCs w:val="28"/>
        </w:rPr>
        <w:t>该课程学分）／∑课程学分</w:t>
      </w:r>
    </w:p>
    <w:p w14:paraId="23402AE9">
      <w:pPr>
        <w:adjustRightInd w:val="0"/>
        <w:snapToGrid w:val="0"/>
        <w:spacing w:line="56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课程成绩均按第一次总评成绩计算。纳入学业成绩计算范围的课程：本专业培养方案中前三学年的通识教育基础课程、大学科基础课程及专业必修课程。</w:t>
      </w:r>
    </w:p>
    <w:p w14:paraId="5AA47A10">
      <w:pPr>
        <w:spacing w:line="56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外出交流生应在申请推免生资格前，完成学分认定及成绩转换后参与成绩排名。</w:t>
      </w:r>
    </w:p>
    <w:p w14:paraId="04008683">
      <w:pPr>
        <w:spacing w:line="56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（二）综合能力加分</w:t>
      </w:r>
    </w:p>
    <w:p w14:paraId="12F6425C">
      <w:pPr>
        <w:spacing w:line="560" w:lineRule="exact"/>
        <w:ind w:firstLine="560" w:firstLineChars="200"/>
        <w:rPr>
          <w:rFonts w:ascii="Times New Roman" w:hAnsi="Times New Roman" w:eastAsia="仿宋_GB2312"/>
          <w:b/>
          <w:sz w:val="28"/>
          <w:szCs w:val="28"/>
        </w:rPr>
      </w:pPr>
      <w:r>
        <w:rPr>
          <w:rFonts w:hint="eastAsia" w:ascii="Times New Roman" w:hAnsi="Times New Roman" w:eastAsia="仿宋_GB2312"/>
          <w:sz w:val="28"/>
          <w:szCs w:val="28"/>
        </w:rPr>
        <w:t>综合能力加分满分为</w:t>
      </w:r>
      <w:r>
        <w:rPr>
          <w:rFonts w:ascii="Times New Roman" w:hAnsi="Times New Roman" w:eastAsia="仿宋_GB2312"/>
          <w:sz w:val="28"/>
          <w:szCs w:val="28"/>
        </w:rPr>
        <w:t>100</w:t>
      </w:r>
      <w:r>
        <w:rPr>
          <w:rFonts w:hint="eastAsia" w:ascii="Times New Roman" w:hAnsi="Times New Roman" w:eastAsia="仿宋_GB2312"/>
          <w:sz w:val="28"/>
          <w:szCs w:val="28"/>
        </w:rPr>
        <w:t>分，分为科研创新能力加分（满分</w:t>
      </w:r>
      <w:r>
        <w:rPr>
          <w:rFonts w:ascii="Times New Roman" w:hAnsi="Times New Roman" w:eastAsia="仿宋_GB2312"/>
          <w:sz w:val="28"/>
          <w:szCs w:val="28"/>
        </w:rPr>
        <w:t>60</w:t>
      </w:r>
      <w:r>
        <w:rPr>
          <w:rFonts w:hint="eastAsia" w:ascii="Times New Roman" w:hAnsi="Times New Roman" w:eastAsia="仿宋_GB2312"/>
          <w:sz w:val="28"/>
          <w:szCs w:val="28"/>
        </w:rPr>
        <w:t>分）和素质能力加分（满分</w:t>
      </w:r>
      <w:r>
        <w:rPr>
          <w:rFonts w:ascii="Times New Roman" w:hAnsi="Times New Roman" w:eastAsia="仿宋_GB2312"/>
          <w:sz w:val="28"/>
          <w:szCs w:val="28"/>
        </w:rPr>
        <w:t>40</w:t>
      </w:r>
      <w:r>
        <w:rPr>
          <w:rFonts w:hint="eastAsia" w:ascii="Times New Roman" w:hAnsi="Times New Roman" w:eastAsia="仿宋_GB2312"/>
          <w:sz w:val="28"/>
          <w:szCs w:val="28"/>
        </w:rPr>
        <w:t>分）两部分。其中，科研创新能力加分包含科研成果类、创新创业类、学科竞赛类。素质能力加分包含荣誉类、服兵役类、体育类、美育类、劳动教育类、社会实践类。各类别设置一个或多个方面内容，学生在不同方面获得奖项可以累积加分，在同一方面中有多项加分情况时，只取最高一项</w:t>
      </w:r>
      <w:r>
        <w:rPr>
          <w:rFonts w:ascii="Times New Roman" w:hAnsi="Times New Roman" w:eastAsia="仿宋_GB2312"/>
          <w:sz w:val="28"/>
          <w:szCs w:val="28"/>
        </w:rPr>
        <w:t xml:space="preserve">, </w:t>
      </w:r>
      <w:r>
        <w:rPr>
          <w:rFonts w:hint="eastAsia" w:ascii="Times New Roman" w:hAnsi="Times New Roman" w:eastAsia="仿宋_GB2312"/>
          <w:sz w:val="28"/>
          <w:szCs w:val="28"/>
        </w:rPr>
        <w:t>综合能力加分总分超过</w:t>
      </w:r>
      <w:r>
        <w:rPr>
          <w:rFonts w:ascii="Times New Roman" w:hAnsi="Times New Roman" w:eastAsia="仿宋_GB2312"/>
          <w:sz w:val="28"/>
          <w:szCs w:val="28"/>
        </w:rPr>
        <w:t>100</w:t>
      </w:r>
      <w:r>
        <w:rPr>
          <w:rFonts w:hint="eastAsia" w:ascii="Times New Roman" w:hAnsi="Times New Roman" w:eastAsia="仿宋_GB2312"/>
          <w:sz w:val="28"/>
          <w:szCs w:val="28"/>
        </w:rPr>
        <w:t>分的按</w:t>
      </w:r>
      <w:r>
        <w:rPr>
          <w:rFonts w:ascii="Times New Roman" w:hAnsi="Times New Roman" w:eastAsia="仿宋_GB2312"/>
          <w:sz w:val="28"/>
          <w:szCs w:val="28"/>
        </w:rPr>
        <w:t>100</w:t>
      </w:r>
      <w:r>
        <w:rPr>
          <w:rFonts w:hint="eastAsia" w:ascii="Times New Roman" w:hAnsi="Times New Roman" w:eastAsia="仿宋_GB2312"/>
          <w:sz w:val="28"/>
          <w:szCs w:val="28"/>
        </w:rPr>
        <w:t>分计。</w:t>
      </w:r>
      <w:r>
        <w:rPr>
          <w:rFonts w:hint="eastAsia" w:ascii="Times New Roman" w:hAnsi="Times New Roman" w:eastAsia="仿宋_GB2312"/>
          <w:b/>
          <w:sz w:val="28"/>
          <w:szCs w:val="28"/>
        </w:rPr>
        <w:t>其中获得拔尖项目的，按照拔尖项目加分规则执行，加分计入综合能力总分，不受素质能力加分满分</w:t>
      </w:r>
      <w:r>
        <w:rPr>
          <w:rFonts w:ascii="Times New Roman" w:hAnsi="Times New Roman" w:eastAsia="仿宋_GB2312"/>
          <w:b/>
          <w:sz w:val="28"/>
          <w:szCs w:val="28"/>
        </w:rPr>
        <w:t>40</w:t>
      </w:r>
      <w:r>
        <w:rPr>
          <w:rFonts w:hint="eastAsia" w:ascii="Times New Roman" w:hAnsi="Times New Roman" w:eastAsia="仿宋_GB2312"/>
          <w:b/>
          <w:sz w:val="28"/>
          <w:szCs w:val="28"/>
        </w:rPr>
        <w:t>分限制。</w:t>
      </w:r>
    </w:p>
    <w:p w14:paraId="465C230A">
      <w:pPr>
        <w:spacing w:line="560" w:lineRule="exact"/>
        <w:ind w:firstLine="560" w:firstLineChars="200"/>
        <w:rPr>
          <w:rFonts w:ascii="Times New Roman" w:hAnsi="Times New Roman" w:eastAsia="黑体"/>
          <w:b/>
        </w:rPr>
      </w:pPr>
      <w:r>
        <w:rPr>
          <w:rFonts w:hint="eastAsia" w:ascii="Times New Roman" w:hAnsi="Times New Roman" w:eastAsia="仿宋_GB2312"/>
          <w:sz w:val="28"/>
          <w:szCs w:val="28"/>
        </w:rPr>
        <w:t>两个部分校级奖励加分总数不超过满分的</w:t>
      </w:r>
      <w:r>
        <w:rPr>
          <w:rFonts w:ascii="Times New Roman" w:hAnsi="Times New Roman" w:eastAsia="仿宋_GB2312"/>
          <w:sz w:val="28"/>
          <w:szCs w:val="28"/>
        </w:rPr>
        <w:t>15%</w:t>
      </w:r>
      <w:r>
        <w:rPr>
          <w:rFonts w:hint="eastAsia" w:ascii="Times New Roman" w:hAnsi="Times New Roman" w:eastAsia="仿宋_GB2312"/>
          <w:sz w:val="28"/>
          <w:szCs w:val="28"/>
        </w:rPr>
        <w:t>，即科研创新能力加分中校级奖励加分不超过</w:t>
      </w:r>
      <w:r>
        <w:rPr>
          <w:rFonts w:ascii="Times New Roman" w:hAnsi="Times New Roman" w:eastAsia="仿宋_GB2312"/>
          <w:sz w:val="28"/>
          <w:szCs w:val="28"/>
        </w:rPr>
        <w:t>9</w:t>
      </w:r>
      <w:r>
        <w:rPr>
          <w:rFonts w:hint="eastAsia" w:ascii="Times New Roman" w:hAnsi="Times New Roman" w:eastAsia="仿宋_GB2312"/>
          <w:sz w:val="28"/>
          <w:szCs w:val="28"/>
        </w:rPr>
        <w:t>分，素质能力加分中校级奖励加分不超过</w:t>
      </w:r>
      <w:r>
        <w:rPr>
          <w:rFonts w:ascii="Times New Roman" w:hAnsi="Times New Roman" w:eastAsia="仿宋_GB2312"/>
          <w:sz w:val="28"/>
          <w:szCs w:val="28"/>
        </w:rPr>
        <w:t>6</w:t>
      </w:r>
      <w:r>
        <w:rPr>
          <w:rFonts w:hint="eastAsia" w:ascii="Times New Roman" w:hAnsi="Times New Roman" w:eastAsia="仿宋_GB2312"/>
          <w:sz w:val="28"/>
          <w:szCs w:val="28"/>
        </w:rPr>
        <w:t>分。</w:t>
      </w:r>
    </w:p>
    <w:p w14:paraId="2ADE9EAE">
      <w:pPr>
        <w:pStyle w:val="14"/>
        <w:spacing w:before="156" w:after="156"/>
      </w:pPr>
      <w:r>
        <w:rPr>
          <w:rFonts w:hint="eastAsia"/>
        </w:rPr>
        <w:t>表</w:t>
      </w:r>
      <w:r>
        <w:t xml:space="preserve">1 </w:t>
      </w:r>
      <w:r>
        <w:rPr>
          <w:rFonts w:hint="eastAsia"/>
        </w:rPr>
        <w:t>各类竞赛或获奖加分标准</w:t>
      </w:r>
    </w:p>
    <w:tbl>
      <w:tblPr>
        <w:tblStyle w:val="8"/>
        <w:tblW w:w="81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7"/>
        <w:gridCol w:w="1811"/>
        <w:gridCol w:w="2096"/>
        <w:gridCol w:w="1590"/>
      </w:tblGrid>
      <w:tr w14:paraId="43EC2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667" w:type="dxa"/>
            <w:vAlign w:val="center"/>
          </w:tcPr>
          <w:p w14:paraId="0B064821">
            <w:pPr>
              <w:pStyle w:val="16"/>
            </w:pPr>
            <w:r>
              <w:rPr>
                <w:rFonts w:hint="eastAsia"/>
              </w:rPr>
              <w:t>等级</w:t>
            </w:r>
          </w:p>
        </w:tc>
        <w:tc>
          <w:tcPr>
            <w:tcW w:w="1811" w:type="dxa"/>
            <w:vAlign w:val="center"/>
          </w:tcPr>
          <w:p w14:paraId="454A3703">
            <w:pPr>
              <w:pStyle w:val="16"/>
            </w:pPr>
            <w:r>
              <w:rPr>
                <w:rFonts w:hint="eastAsia"/>
              </w:rPr>
              <w:t>国家级（分）</w:t>
            </w:r>
          </w:p>
        </w:tc>
        <w:tc>
          <w:tcPr>
            <w:tcW w:w="2096" w:type="dxa"/>
            <w:vAlign w:val="center"/>
          </w:tcPr>
          <w:p w14:paraId="5F2CE8BC">
            <w:pPr>
              <w:pStyle w:val="16"/>
            </w:pPr>
            <w:r>
              <w:rPr>
                <w:rFonts w:hint="eastAsia"/>
              </w:rPr>
              <w:t>省（市）级（分）</w:t>
            </w:r>
          </w:p>
        </w:tc>
        <w:tc>
          <w:tcPr>
            <w:tcW w:w="1590" w:type="dxa"/>
            <w:vAlign w:val="center"/>
          </w:tcPr>
          <w:p w14:paraId="6039E223">
            <w:pPr>
              <w:pStyle w:val="16"/>
            </w:pPr>
            <w:r>
              <w:rPr>
                <w:rFonts w:hint="eastAsia"/>
              </w:rPr>
              <w:t>校级（分）</w:t>
            </w:r>
          </w:p>
        </w:tc>
      </w:tr>
      <w:tr w14:paraId="215D3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667" w:type="dxa"/>
          </w:tcPr>
          <w:p w14:paraId="2F31EAA2">
            <w:pPr>
              <w:pStyle w:val="16"/>
            </w:pPr>
            <w:r>
              <w:rPr>
                <w:rFonts w:hint="eastAsia"/>
              </w:rPr>
              <w:t>一等奖（或第一名）</w:t>
            </w:r>
          </w:p>
        </w:tc>
        <w:tc>
          <w:tcPr>
            <w:tcW w:w="1811" w:type="dxa"/>
            <w:vAlign w:val="center"/>
          </w:tcPr>
          <w:p w14:paraId="46D0E11C">
            <w:pPr>
              <w:pStyle w:val="16"/>
            </w:pPr>
            <w:r>
              <w:t>40</w:t>
            </w:r>
          </w:p>
        </w:tc>
        <w:tc>
          <w:tcPr>
            <w:tcW w:w="2096" w:type="dxa"/>
            <w:vAlign w:val="center"/>
          </w:tcPr>
          <w:p w14:paraId="617609AF">
            <w:pPr>
              <w:pStyle w:val="16"/>
            </w:pPr>
            <w:r>
              <w:t>25</w:t>
            </w:r>
          </w:p>
        </w:tc>
        <w:tc>
          <w:tcPr>
            <w:tcW w:w="1590" w:type="dxa"/>
            <w:vAlign w:val="center"/>
          </w:tcPr>
          <w:p w14:paraId="739383C9">
            <w:pPr>
              <w:pStyle w:val="16"/>
            </w:pPr>
            <w:r>
              <w:t>5</w:t>
            </w:r>
          </w:p>
        </w:tc>
      </w:tr>
      <w:tr w14:paraId="53418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667" w:type="dxa"/>
          </w:tcPr>
          <w:p w14:paraId="652A8B39">
            <w:pPr>
              <w:pStyle w:val="16"/>
            </w:pPr>
            <w:r>
              <w:rPr>
                <w:rFonts w:hint="eastAsia"/>
              </w:rPr>
              <w:t>二等奖（或第二名）</w:t>
            </w:r>
          </w:p>
        </w:tc>
        <w:tc>
          <w:tcPr>
            <w:tcW w:w="1811" w:type="dxa"/>
            <w:vAlign w:val="center"/>
          </w:tcPr>
          <w:p w14:paraId="63A2D194">
            <w:pPr>
              <w:pStyle w:val="16"/>
            </w:pPr>
            <w:r>
              <w:t>30</w:t>
            </w:r>
          </w:p>
        </w:tc>
        <w:tc>
          <w:tcPr>
            <w:tcW w:w="2096" w:type="dxa"/>
            <w:vAlign w:val="center"/>
          </w:tcPr>
          <w:p w14:paraId="434B2F60">
            <w:pPr>
              <w:pStyle w:val="16"/>
            </w:pPr>
            <w:r>
              <w:t>20</w:t>
            </w:r>
          </w:p>
        </w:tc>
        <w:tc>
          <w:tcPr>
            <w:tcW w:w="1590" w:type="dxa"/>
            <w:vAlign w:val="center"/>
          </w:tcPr>
          <w:p w14:paraId="14A34CF6">
            <w:pPr>
              <w:pStyle w:val="16"/>
            </w:pPr>
            <w:r>
              <w:t>1</w:t>
            </w:r>
          </w:p>
        </w:tc>
      </w:tr>
      <w:tr w14:paraId="7F4D9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667" w:type="dxa"/>
            <w:vAlign w:val="center"/>
          </w:tcPr>
          <w:p w14:paraId="3E91C565">
            <w:pPr>
              <w:pStyle w:val="16"/>
            </w:pPr>
            <w:r>
              <w:rPr>
                <w:rFonts w:hint="eastAsia"/>
              </w:rPr>
              <w:t>三等奖（或第三名）</w:t>
            </w:r>
          </w:p>
        </w:tc>
        <w:tc>
          <w:tcPr>
            <w:tcW w:w="1811" w:type="dxa"/>
            <w:vAlign w:val="center"/>
          </w:tcPr>
          <w:p w14:paraId="76A08A16">
            <w:pPr>
              <w:pStyle w:val="16"/>
            </w:pPr>
            <w:r>
              <w:t>25</w:t>
            </w:r>
          </w:p>
        </w:tc>
        <w:tc>
          <w:tcPr>
            <w:tcW w:w="2096" w:type="dxa"/>
            <w:vAlign w:val="center"/>
          </w:tcPr>
          <w:p w14:paraId="480DBDE6">
            <w:pPr>
              <w:pStyle w:val="16"/>
            </w:pPr>
            <w:r>
              <w:t>10</w:t>
            </w:r>
          </w:p>
        </w:tc>
        <w:tc>
          <w:tcPr>
            <w:tcW w:w="1590" w:type="dxa"/>
            <w:vAlign w:val="center"/>
          </w:tcPr>
          <w:p w14:paraId="1A14B2B0">
            <w:pPr>
              <w:pStyle w:val="16"/>
            </w:pPr>
            <w:r>
              <w:rPr>
                <w:rFonts w:hint="eastAsia"/>
              </w:rPr>
              <w:t>不计分</w:t>
            </w:r>
          </w:p>
        </w:tc>
      </w:tr>
    </w:tbl>
    <w:p w14:paraId="36539838">
      <w:pPr>
        <w:spacing w:line="56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注：</w:t>
      </w:r>
    </w:p>
    <w:p w14:paraId="3320C18A">
      <w:pPr>
        <w:spacing w:line="56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①竞赛主要是指由党、政、团等组织主办或举办，非政府组织主办的各类竞赛获奖情况由院学生工作领导小组核定后予以级别认定并相应评分。</w:t>
      </w:r>
    </w:p>
    <w:p w14:paraId="4673E540">
      <w:pPr>
        <w:spacing w:line="56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sz w:val="28"/>
          <w:szCs w:val="28"/>
        </w:rPr>
        <w:t>②奖项含有特等奖的竞赛，特等奖视为一等奖、其余等级相应下调一级。</w:t>
      </w:r>
    </w:p>
    <w:p w14:paraId="79082B20">
      <w:pPr>
        <w:spacing w:after="156" w:afterLines="50" w:line="560" w:lineRule="exact"/>
        <w:ind w:firstLine="560" w:firstLineChars="200"/>
        <w:rPr>
          <w:rFonts w:ascii="Times New Roman" w:hAnsi="Times New Roman" w:eastAsia="仿宋_GB2312"/>
          <w:sz w:val="28"/>
          <w:szCs w:val="28"/>
        </w:rPr>
      </w:pPr>
      <w:r>
        <w:rPr>
          <w:rFonts w:hint="eastAsia" w:ascii="Times New Roman" w:hAnsi="Times New Roman" w:eastAsia="仿宋_GB2312" w:cs="仿宋_GB2312"/>
          <w:sz w:val="28"/>
          <w:szCs w:val="28"/>
        </w:rPr>
        <w:t>③</w:t>
      </w:r>
      <w:r>
        <w:rPr>
          <w:rFonts w:hint="eastAsia" w:ascii="Times New Roman" w:hAnsi="Times New Roman" w:eastAsia="仿宋_GB2312"/>
          <w:sz w:val="28"/>
          <w:szCs w:val="28"/>
        </w:rPr>
        <w:t>团队合作者认定：团队合作者排序原则上以证书成员排名顺序为准。针对团队有负责人（成员排名不分先后）或团队合作者排名不分先后等</w:t>
      </w:r>
      <w:r>
        <w:rPr>
          <w:rFonts w:ascii="Times New Roman" w:hAnsi="Times New Roman" w:eastAsia="仿宋_GB2312"/>
          <w:sz w:val="28"/>
          <w:szCs w:val="28"/>
        </w:rPr>
        <w:t>特殊情况</w:t>
      </w:r>
      <w:r>
        <w:rPr>
          <w:rFonts w:hint="eastAsia" w:ascii="Times New Roman" w:hAnsi="Times New Roman" w:eastAsia="仿宋_GB2312"/>
          <w:sz w:val="28"/>
          <w:szCs w:val="28"/>
        </w:rPr>
        <w:t>，均需要团队出具证明，由指导老师及所有成员签字确认，由学院</w:t>
      </w:r>
      <w:r>
        <w:rPr>
          <w:rFonts w:ascii="Times New Roman" w:hAnsi="Times New Roman" w:eastAsia="仿宋_GB2312"/>
          <w:sz w:val="28"/>
          <w:szCs w:val="28"/>
        </w:rPr>
        <w:t>工作小组</w:t>
      </w:r>
      <w:r>
        <w:rPr>
          <w:rFonts w:hint="eastAsia" w:ascii="Times New Roman" w:hAnsi="Times New Roman" w:eastAsia="仿宋_GB2312"/>
          <w:sz w:val="28"/>
          <w:szCs w:val="28"/>
        </w:rPr>
        <w:t>审核</w:t>
      </w:r>
      <w:r>
        <w:rPr>
          <w:rFonts w:ascii="Times New Roman" w:hAnsi="Times New Roman" w:eastAsia="仿宋_GB2312"/>
          <w:sz w:val="28"/>
          <w:szCs w:val="28"/>
        </w:rPr>
        <w:t>后认定</w:t>
      </w:r>
      <w:r>
        <w:rPr>
          <w:rFonts w:hint="eastAsia" w:ascii="Times New Roman" w:hAnsi="Times New Roman" w:eastAsia="仿宋_GB2312"/>
          <w:sz w:val="28"/>
          <w:szCs w:val="28"/>
        </w:rPr>
        <w:t>。认定</w:t>
      </w:r>
      <w:r>
        <w:rPr>
          <w:rFonts w:ascii="Times New Roman" w:hAnsi="Times New Roman" w:eastAsia="仿宋_GB2312"/>
          <w:sz w:val="28"/>
          <w:szCs w:val="28"/>
        </w:rPr>
        <w:t>标准见</w:t>
      </w:r>
      <w:r>
        <w:rPr>
          <w:rFonts w:hint="eastAsia" w:ascii="Times New Roman" w:hAnsi="Times New Roman" w:eastAsia="仿宋_GB2312"/>
          <w:sz w:val="28"/>
          <w:szCs w:val="28"/>
        </w:rPr>
        <w:t>表。</w:t>
      </w:r>
    </w:p>
    <w:p w14:paraId="0CA4DC71">
      <w:pPr>
        <w:pStyle w:val="14"/>
        <w:spacing w:before="156" w:after="156"/>
        <w:rPr>
          <w:rFonts w:eastAsia="仿宋_GB2312"/>
          <w:sz w:val="28"/>
          <w:szCs w:val="28"/>
        </w:rPr>
      </w:pPr>
      <w:r>
        <w:rPr>
          <w:rFonts w:hint="eastAsia"/>
        </w:rPr>
        <w:t>表2</w:t>
      </w:r>
      <w:r>
        <w:t xml:space="preserve"> </w:t>
      </w:r>
      <w:r>
        <w:rPr>
          <w:rFonts w:hint="eastAsia"/>
        </w:rPr>
        <w:t>团队合作者认定标准</w:t>
      </w:r>
    </w:p>
    <w:tbl>
      <w:tblPr>
        <w:tblStyle w:val="9"/>
        <w:tblW w:w="85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1417"/>
        <w:gridCol w:w="1417"/>
        <w:gridCol w:w="1418"/>
        <w:gridCol w:w="1392"/>
        <w:gridCol w:w="1393"/>
      </w:tblGrid>
      <w:tr w14:paraId="2AD83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555" w:type="dxa"/>
            <w:tcBorders>
              <w:tl2br w:val="single" w:color="auto" w:sz="4" w:space="0"/>
            </w:tcBorders>
          </w:tcPr>
          <w:p w14:paraId="692D28CD">
            <w:pPr>
              <w:pStyle w:val="16"/>
              <w:jc w:val="right"/>
              <w:rPr>
                <w:sz w:val="21"/>
              </w:rPr>
            </w:pPr>
            <w:r>
              <w:rPr>
                <w:rFonts w:hint="eastAsia"/>
                <w:sz w:val="21"/>
              </w:rPr>
              <w:t>团</w:t>
            </w:r>
            <w:r>
              <w:rPr>
                <w:sz w:val="21"/>
              </w:rPr>
              <w:t>队</w:t>
            </w:r>
            <w:r>
              <w:rPr>
                <w:rFonts w:hint="eastAsia"/>
                <w:sz w:val="21"/>
              </w:rPr>
              <w:t>人数</w:t>
            </w:r>
          </w:p>
          <w:p w14:paraId="7D99ADDB">
            <w:pPr>
              <w:pStyle w:val="16"/>
              <w:jc w:val="left"/>
              <w:rPr>
                <w:rFonts w:ascii="微软雅黑" w:hAnsi="微软雅黑" w:eastAsia="微软雅黑"/>
                <w:color w:val="000000" w:themeColor="text1"/>
                <w:sz w:val="21"/>
                <w14:textFill>
                  <w14:solidFill>
                    <w14:schemeClr w14:val="tx1"/>
                  </w14:solidFill>
                </w14:textFill>
              </w:rPr>
            </w:pPr>
            <w:r>
              <w:rPr>
                <w:rFonts w:hint="eastAsia"/>
                <w:sz w:val="21"/>
              </w:rPr>
              <w:t>类别</w:t>
            </w:r>
          </w:p>
        </w:tc>
        <w:tc>
          <w:tcPr>
            <w:tcW w:w="1417" w:type="dxa"/>
            <w:vAlign w:val="center"/>
          </w:tcPr>
          <w:p w14:paraId="138138BB">
            <w:pPr>
              <w:pStyle w:val="16"/>
              <w:rPr>
                <w:sz w:val="21"/>
              </w:rPr>
            </w:pPr>
            <w:r>
              <w:rPr>
                <w:rFonts w:hint="eastAsia"/>
                <w:sz w:val="21"/>
              </w:rPr>
              <w:t>2</w:t>
            </w:r>
            <w:r>
              <w:rPr>
                <w:sz w:val="21"/>
              </w:rPr>
              <w:t>-</w:t>
            </w:r>
            <w:r>
              <w:rPr>
                <w:rFonts w:hint="eastAsia"/>
                <w:sz w:val="21"/>
              </w:rPr>
              <w:t>3人</w:t>
            </w:r>
          </w:p>
        </w:tc>
        <w:tc>
          <w:tcPr>
            <w:tcW w:w="1417" w:type="dxa"/>
            <w:vAlign w:val="center"/>
          </w:tcPr>
          <w:p w14:paraId="29821883">
            <w:pPr>
              <w:pStyle w:val="16"/>
              <w:rPr>
                <w:sz w:val="21"/>
              </w:rPr>
            </w:pPr>
            <w:r>
              <w:rPr>
                <w:rFonts w:hint="eastAsia"/>
                <w:sz w:val="21"/>
              </w:rPr>
              <w:t>4</w:t>
            </w:r>
            <w:r>
              <w:rPr>
                <w:sz w:val="21"/>
              </w:rPr>
              <w:t>-</w:t>
            </w:r>
            <w:r>
              <w:rPr>
                <w:rFonts w:hint="eastAsia"/>
                <w:sz w:val="21"/>
              </w:rPr>
              <w:t>5人</w:t>
            </w:r>
          </w:p>
        </w:tc>
        <w:tc>
          <w:tcPr>
            <w:tcW w:w="1418" w:type="dxa"/>
            <w:vAlign w:val="center"/>
          </w:tcPr>
          <w:p w14:paraId="1F0D9C02">
            <w:pPr>
              <w:pStyle w:val="16"/>
              <w:rPr>
                <w:sz w:val="21"/>
              </w:rPr>
            </w:pPr>
            <w:r>
              <w:rPr>
                <w:sz w:val="21"/>
              </w:rPr>
              <w:t>6-9</w:t>
            </w:r>
            <w:r>
              <w:rPr>
                <w:rFonts w:hint="eastAsia"/>
                <w:sz w:val="21"/>
              </w:rPr>
              <w:t>人</w:t>
            </w:r>
          </w:p>
        </w:tc>
        <w:tc>
          <w:tcPr>
            <w:tcW w:w="1392" w:type="dxa"/>
            <w:vAlign w:val="center"/>
          </w:tcPr>
          <w:p w14:paraId="608EF19F">
            <w:pPr>
              <w:pStyle w:val="16"/>
              <w:rPr>
                <w:sz w:val="21"/>
              </w:rPr>
            </w:pPr>
            <w:r>
              <w:rPr>
                <w:sz w:val="21"/>
              </w:rPr>
              <w:t>10-14</w:t>
            </w:r>
            <w:r>
              <w:rPr>
                <w:rFonts w:hint="eastAsia"/>
                <w:sz w:val="21"/>
              </w:rPr>
              <w:t>人</w:t>
            </w:r>
          </w:p>
        </w:tc>
        <w:tc>
          <w:tcPr>
            <w:tcW w:w="1393" w:type="dxa"/>
            <w:vAlign w:val="center"/>
          </w:tcPr>
          <w:p w14:paraId="71F78A66">
            <w:pPr>
              <w:pStyle w:val="16"/>
              <w:rPr>
                <w:sz w:val="21"/>
              </w:rPr>
            </w:pPr>
            <w:r>
              <w:rPr>
                <w:rFonts w:hint="eastAsia"/>
                <w:sz w:val="21"/>
              </w:rPr>
              <w:t>15人及</w:t>
            </w:r>
            <w:r>
              <w:rPr>
                <w:sz w:val="21"/>
              </w:rPr>
              <w:t>以上</w:t>
            </w:r>
          </w:p>
        </w:tc>
      </w:tr>
      <w:tr w14:paraId="2A16C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555" w:type="dxa"/>
            <w:vAlign w:val="center"/>
          </w:tcPr>
          <w:p w14:paraId="7FE5E17E">
            <w:pPr>
              <w:pStyle w:val="16"/>
              <w:rPr>
                <w:sz w:val="21"/>
              </w:rPr>
            </w:pPr>
            <w:r>
              <w:rPr>
                <w:rFonts w:hint="eastAsia"/>
                <w:sz w:val="21"/>
              </w:rPr>
              <w:t>团队合作者有排序</w:t>
            </w:r>
          </w:p>
        </w:tc>
        <w:tc>
          <w:tcPr>
            <w:tcW w:w="7037" w:type="dxa"/>
            <w:gridSpan w:val="5"/>
            <w:vAlign w:val="center"/>
          </w:tcPr>
          <w:p w14:paraId="37BB1452">
            <w:pPr>
              <w:pStyle w:val="16"/>
              <w:rPr>
                <w:sz w:val="21"/>
              </w:rPr>
            </w:pPr>
            <w:r>
              <w:rPr>
                <w:rFonts w:hint="eastAsia"/>
                <w:sz w:val="21"/>
              </w:rPr>
              <w:t>第一完成人为1项，第二完成人为0.5项，第三完成人为0.4项, 第四完成人为0.3项,第五至十四完成人为0.2项，第十五及以后完成人为0.1项</w:t>
            </w:r>
          </w:p>
        </w:tc>
      </w:tr>
      <w:tr w14:paraId="699F9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1555" w:type="dxa"/>
            <w:vAlign w:val="center"/>
          </w:tcPr>
          <w:p w14:paraId="7E58BB42">
            <w:pPr>
              <w:pStyle w:val="16"/>
              <w:rPr>
                <w:sz w:val="21"/>
              </w:rPr>
            </w:pPr>
            <w:r>
              <w:rPr>
                <w:rFonts w:hint="eastAsia"/>
                <w:sz w:val="21"/>
              </w:rPr>
              <w:t>团队合作者排名不分先后</w:t>
            </w:r>
          </w:p>
        </w:tc>
        <w:tc>
          <w:tcPr>
            <w:tcW w:w="1417" w:type="dxa"/>
            <w:vAlign w:val="center"/>
          </w:tcPr>
          <w:p w14:paraId="1B538114">
            <w:pPr>
              <w:pStyle w:val="16"/>
              <w:rPr>
                <w:sz w:val="21"/>
              </w:rPr>
            </w:pPr>
            <w:r>
              <w:rPr>
                <w:rFonts w:hint="eastAsia"/>
                <w:sz w:val="21"/>
              </w:rPr>
              <w:t>平行认定为</w:t>
            </w:r>
            <w:r>
              <w:rPr>
                <w:sz w:val="21"/>
              </w:rPr>
              <w:t>0.5</w:t>
            </w:r>
            <w:r>
              <w:rPr>
                <w:rFonts w:hint="eastAsia"/>
                <w:sz w:val="21"/>
              </w:rPr>
              <w:t>项</w:t>
            </w:r>
          </w:p>
        </w:tc>
        <w:tc>
          <w:tcPr>
            <w:tcW w:w="1417" w:type="dxa"/>
            <w:vAlign w:val="center"/>
          </w:tcPr>
          <w:p w14:paraId="7FBEE4E8">
            <w:pPr>
              <w:pStyle w:val="16"/>
              <w:rPr>
                <w:sz w:val="21"/>
              </w:rPr>
            </w:pPr>
            <w:r>
              <w:rPr>
                <w:rFonts w:hint="eastAsia"/>
                <w:sz w:val="21"/>
              </w:rPr>
              <w:t>平行认定为</w:t>
            </w:r>
            <w:r>
              <w:rPr>
                <w:sz w:val="21"/>
              </w:rPr>
              <w:t>0.</w:t>
            </w:r>
            <w:r>
              <w:rPr>
                <w:rFonts w:hint="eastAsia"/>
                <w:sz w:val="21"/>
              </w:rPr>
              <w:t>4项</w:t>
            </w:r>
          </w:p>
        </w:tc>
        <w:tc>
          <w:tcPr>
            <w:tcW w:w="1418" w:type="dxa"/>
            <w:vAlign w:val="center"/>
          </w:tcPr>
          <w:p w14:paraId="47BE2330">
            <w:pPr>
              <w:pStyle w:val="16"/>
              <w:rPr>
                <w:sz w:val="21"/>
              </w:rPr>
            </w:pPr>
            <w:r>
              <w:rPr>
                <w:rFonts w:hint="eastAsia"/>
                <w:sz w:val="21"/>
              </w:rPr>
              <w:t>平行认定为</w:t>
            </w:r>
            <w:r>
              <w:rPr>
                <w:sz w:val="21"/>
              </w:rPr>
              <w:t>0.3</w:t>
            </w:r>
            <w:r>
              <w:rPr>
                <w:rFonts w:hint="eastAsia"/>
                <w:sz w:val="21"/>
              </w:rPr>
              <w:t>项</w:t>
            </w:r>
          </w:p>
        </w:tc>
        <w:tc>
          <w:tcPr>
            <w:tcW w:w="1392" w:type="dxa"/>
            <w:vAlign w:val="center"/>
          </w:tcPr>
          <w:p w14:paraId="6B4DFD4F">
            <w:pPr>
              <w:pStyle w:val="16"/>
              <w:rPr>
                <w:sz w:val="21"/>
              </w:rPr>
            </w:pPr>
            <w:r>
              <w:rPr>
                <w:rFonts w:hint="eastAsia"/>
                <w:sz w:val="21"/>
              </w:rPr>
              <w:t>平行认定为</w:t>
            </w:r>
            <w:r>
              <w:rPr>
                <w:sz w:val="21"/>
              </w:rPr>
              <w:t>0.2</w:t>
            </w:r>
            <w:r>
              <w:rPr>
                <w:rFonts w:hint="eastAsia"/>
                <w:sz w:val="21"/>
              </w:rPr>
              <w:t>项</w:t>
            </w:r>
          </w:p>
        </w:tc>
        <w:tc>
          <w:tcPr>
            <w:tcW w:w="1393" w:type="dxa"/>
            <w:vAlign w:val="center"/>
          </w:tcPr>
          <w:p w14:paraId="22327191">
            <w:pPr>
              <w:pStyle w:val="16"/>
              <w:rPr>
                <w:sz w:val="21"/>
              </w:rPr>
            </w:pPr>
            <w:r>
              <w:rPr>
                <w:rFonts w:hint="eastAsia"/>
                <w:sz w:val="21"/>
              </w:rPr>
              <w:t>平行认定为</w:t>
            </w:r>
            <w:r>
              <w:rPr>
                <w:sz w:val="21"/>
              </w:rPr>
              <w:t>0.1</w:t>
            </w:r>
            <w:r>
              <w:rPr>
                <w:rFonts w:hint="eastAsia"/>
                <w:sz w:val="21"/>
              </w:rPr>
              <w:t>项</w:t>
            </w:r>
          </w:p>
        </w:tc>
      </w:tr>
      <w:tr w14:paraId="7233D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555" w:type="dxa"/>
            <w:vAlign w:val="center"/>
          </w:tcPr>
          <w:p w14:paraId="70ABC226">
            <w:pPr>
              <w:pStyle w:val="16"/>
              <w:rPr>
                <w:sz w:val="21"/>
              </w:rPr>
            </w:pPr>
            <w:r>
              <w:rPr>
                <w:rFonts w:hint="eastAsia"/>
                <w:sz w:val="21"/>
              </w:rPr>
              <w:t>团队有负责人，其他成员排名不分先后</w:t>
            </w:r>
          </w:p>
        </w:tc>
        <w:tc>
          <w:tcPr>
            <w:tcW w:w="4252" w:type="dxa"/>
            <w:gridSpan w:val="3"/>
            <w:vAlign w:val="center"/>
          </w:tcPr>
          <w:p w14:paraId="52371242">
            <w:pPr>
              <w:pStyle w:val="16"/>
              <w:rPr>
                <w:sz w:val="21"/>
              </w:rPr>
            </w:pPr>
            <w:r>
              <w:rPr>
                <w:rFonts w:hint="eastAsia"/>
                <w:sz w:val="21"/>
              </w:rPr>
              <w:t>负责</w:t>
            </w:r>
            <w:r>
              <w:rPr>
                <w:sz w:val="21"/>
              </w:rPr>
              <w:t>人1</w:t>
            </w:r>
            <w:r>
              <w:rPr>
                <w:rFonts w:hint="eastAsia"/>
                <w:sz w:val="21"/>
              </w:rPr>
              <w:t>项</w:t>
            </w:r>
          </w:p>
          <w:p w14:paraId="604DCCB0">
            <w:pPr>
              <w:pStyle w:val="16"/>
              <w:rPr>
                <w:sz w:val="21"/>
              </w:rPr>
            </w:pPr>
            <w:r>
              <w:rPr>
                <w:rFonts w:hint="eastAsia"/>
                <w:sz w:val="21"/>
              </w:rPr>
              <w:t>参与</w:t>
            </w:r>
            <w:r>
              <w:rPr>
                <w:sz w:val="21"/>
              </w:rPr>
              <w:t>者0.3</w:t>
            </w:r>
            <w:r>
              <w:rPr>
                <w:rFonts w:hint="eastAsia"/>
                <w:sz w:val="21"/>
              </w:rPr>
              <w:t>项</w:t>
            </w:r>
          </w:p>
        </w:tc>
        <w:tc>
          <w:tcPr>
            <w:tcW w:w="1392" w:type="dxa"/>
            <w:vAlign w:val="center"/>
          </w:tcPr>
          <w:p w14:paraId="14570574">
            <w:pPr>
              <w:pStyle w:val="16"/>
              <w:rPr>
                <w:sz w:val="21"/>
              </w:rPr>
            </w:pPr>
            <w:r>
              <w:rPr>
                <w:rFonts w:hint="eastAsia"/>
                <w:sz w:val="21"/>
              </w:rPr>
              <w:t>负责</w:t>
            </w:r>
            <w:r>
              <w:rPr>
                <w:sz w:val="21"/>
              </w:rPr>
              <w:t>人1</w:t>
            </w:r>
            <w:r>
              <w:rPr>
                <w:rFonts w:hint="eastAsia"/>
                <w:sz w:val="21"/>
              </w:rPr>
              <w:t>项</w:t>
            </w:r>
          </w:p>
          <w:p w14:paraId="7C2453D9">
            <w:pPr>
              <w:pStyle w:val="16"/>
              <w:rPr>
                <w:sz w:val="21"/>
              </w:rPr>
            </w:pPr>
            <w:r>
              <w:rPr>
                <w:rFonts w:hint="eastAsia"/>
                <w:sz w:val="21"/>
              </w:rPr>
              <w:t>参与</w:t>
            </w:r>
            <w:r>
              <w:rPr>
                <w:sz w:val="21"/>
              </w:rPr>
              <w:t>者0.2</w:t>
            </w:r>
            <w:r>
              <w:rPr>
                <w:rFonts w:hint="eastAsia"/>
                <w:sz w:val="21"/>
              </w:rPr>
              <w:t>项</w:t>
            </w:r>
          </w:p>
        </w:tc>
        <w:tc>
          <w:tcPr>
            <w:tcW w:w="1393" w:type="dxa"/>
            <w:vAlign w:val="center"/>
          </w:tcPr>
          <w:p w14:paraId="46D233E0">
            <w:pPr>
              <w:pStyle w:val="16"/>
              <w:rPr>
                <w:sz w:val="21"/>
              </w:rPr>
            </w:pPr>
            <w:r>
              <w:rPr>
                <w:rFonts w:hint="eastAsia"/>
                <w:sz w:val="21"/>
              </w:rPr>
              <w:t>负责</w:t>
            </w:r>
            <w:r>
              <w:rPr>
                <w:sz w:val="21"/>
              </w:rPr>
              <w:t>人1</w:t>
            </w:r>
            <w:r>
              <w:rPr>
                <w:rFonts w:hint="eastAsia"/>
                <w:sz w:val="21"/>
              </w:rPr>
              <w:t>项</w:t>
            </w:r>
          </w:p>
          <w:p w14:paraId="5C1E150F">
            <w:pPr>
              <w:pStyle w:val="16"/>
              <w:rPr>
                <w:sz w:val="21"/>
              </w:rPr>
            </w:pPr>
            <w:r>
              <w:rPr>
                <w:rFonts w:hint="eastAsia"/>
                <w:sz w:val="21"/>
              </w:rPr>
              <w:t>参与</w:t>
            </w:r>
            <w:r>
              <w:rPr>
                <w:sz w:val="21"/>
              </w:rPr>
              <w:t>者0.1</w:t>
            </w:r>
            <w:r>
              <w:rPr>
                <w:rFonts w:hint="eastAsia"/>
                <w:sz w:val="21"/>
              </w:rPr>
              <w:t>项</w:t>
            </w:r>
          </w:p>
        </w:tc>
      </w:tr>
    </w:tbl>
    <w:p w14:paraId="77E61B13">
      <w:pPr>
        <w:spacing w:line="560" w:lineRule="exact"/>
        <w:ind w:firstLine="560" w:firstLineChars="200"/>
        <w:rPr>
          <w:rFonts w:ascii="Times New Roman" w:hAnsi="Times New Roman" w:eastAsia="仿宋_GB2312"/>
          <w:sz w:val="28"/>
          <w:szCs w:val="28"/>
        </w:rPr>
      </w:pPr>
      <w:r>
        <w:rPr>
          <w:rFonts w:hint="eastAsia" w:ascii="Times New Roman" w:hAnsi="Times New Roman" w:eastAsia="仿宋_GB2312" w:cs="仿宋_GB2312"/>
          <w:sz w:val="28"/>
          <w:szCs w:val="28"/>
        </w:rPr>
        <w:t>④</w:t>
      </w:r>
      <w:r>
        <w:rPr>
          <w:rFonts w:hint="eastAsia" w:ascii="Times New Roman" w:hAnsi="Times New Roman" w:eastAsia="仿宋_GB2312"/>
          <w:sz w:val="28"/>
          <w:szCs w:val="28"/>
        </w:rPr>
        <w:t>获得拔尖项目的，按照拔尖项目加分规则执行。其他特殊情况，按照单独注释执行。</w:t>
      </w:r>
    </w:p>
    <w:p w14:paraId="1D0E785A">
      <w:pPr>
        <w:spacing w:line="56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⑤</w:t>
      </w:r>
      <w:r>
        <w:rPr>
          <w:rFonts w:hint="eastAsia" w:ascii="Times New Roman" w:hAnsi="Times New Roman" w:eastAsia="仿宋_GB2312"/>
          <w:sz w:val="28"/>
        </w:rPr>
        <w:t>各</w:t>
      </w:r>
      <w:r>
        <w:rPr>
          <w:rFonts w:ascii="Times New Roman" w:hAnsi="Times New Roman" w:eastAsia="仿宋_GB2312"/>
          <w:sz w:val="28"/>
        </w:rPr>
        <w:t>类竞赛必须</w:t>
      </w:r>
      <w:r>
        <w:rPr>
          <w:rFonts w:hint="eastAsia" w:ascii="Times New Roman" w:hAnsi="Times New Roman" w:eastAsia="仿宋_GB2312"/>
          <w:sz w:val="28"/>
        </w:rPr>
        <w:t>代表</w:t>
      </w:r>
      <w:r>
        <w:rPr>
          <w:rFonts w:ascii="Times New Roman" w:hAnsi="Times New Roman" w:eastAsia="仿宋_GB2312"/>
          <w:sz w:val="28"/>
        </w:rPr>
        <w:t>我</w:t>
      </w:r>
      <w:r>
        <w:rPr>
          <w:rFonts w:hint="eastAsia" w:ascii="Times New Roman" w:hAnsi="Times New Roman" w:eastAsia="仿宋_GB2312"/>
          <w:sz w:val="28"/>
        </w:rPr>
        <w:t>校</w:t>
      </w:r>
      <w:r>
        <w:rPr>
          <w:rFonts w:ascii="Times New Roman" w:hAnsi="Times New Roman" w:eastAsia="仿宋_GB2312"/>
          <w:sz w:val="28"/>
        </w:rPr>
        <w:t>参赛，</w:t>
      </w:r>
      <w:r>
        <w:rPr>
          <w:rFonts w:hint="eastAsia" w:ascii="Times New Roman" w:hAnsi="Times New Roman" w:eastAsia="仿宋_GB2312"/>
          <w:sz w:val="28"/>
        </w:rPr>
        <w:t>校园文体活动只认定由工商</w:t>
      </w:r>
      <w:r>
        <w:rPr>
          <w:rFonts w:ascii="Times New Roman" w:hAnsi="Times New Roman" w:eastAsia="仿宋_GB2312"/>
          <w:sz w:val="28"/>
        </w:rPr>
        <w:t>管理</w:t>
      </w:r>
      <w:r>
        <w:rPr>
          <w:rFonts w:hint="eastAsia" w:ascii="Times New Roman" w:hAnsi="Times New Roman" w:eastAsia="仿宋_GB2312"/>
          <w:sz w:val="28"/>
        </w:rPr>
        <w:t>学院组织并代表学院参赛的赛事，趣味性体育比赛按1/</w:t>
      </w:r>
      <w:r>
        <w:rPr>
          <w:rFonts w:ascii="Times New Roman" w:hAnsi="Times New Roman" w:eastAsia="仿宋_GB2312"/>
          <w:sz w:val="28"/>
        </w:rPr>
        <w:t>2</w:t>
      </w:r>
      <w:r>
        <w:rPr>
          <w:rFonts w:hint="eastAsia" w:ascii="Times New Roman" w:hAnsi="Times New Roman" w:eastAsia="仿宋_GB2312"/>
          <w:sz w:val="28"/>
        </w:rPr>
        <w:t>计</w:t>
      </w:r>
      <w:r>
        <w:rPr>
          <w:rFonts w:hint="eastAsia" w:ascii="Times New Roman" w:hAnsi="Times New Roman" w:eastAsia="仿宋_GB2312" w:cs="宋体"/>
          <w:sz w:val="28"/>
          <w:szCs w:val="28"/>
        </w:rPr>
        <w:t>。</w:t>
      </w:r>
    </w:p>
    <w:p w14:paraId="7B902682">
      <w:pPr>
        <w:spacing w:line="560" w:lineRule="exact"/>
        <w:ind w:firstLine="560" w:firstLineChars="200"/>
        <w:rPr>
          <w:rFonts w:ascii="Times New Roman" w:hAnsi="Times New Roman" w:eastAsia="仿宋_GB2312"/>
          <w:sz w:val="28"/>
          <w:szCs w:val="28"/>
        </w:rPr>
      </w:pPr>
      <w:r>
        <w:rPr>
          <w:rFonts w:hint="eastAsia" w:ascii="Times New Roman" w:hAnsi="Times New Roman" w:eastAsia="仿宋_GB2312"/>
          <w:sz w:val="28"/>
        </w:rPr>
        <w:t>⑥</w:t>
      </w:r>
      <w:r>
        <w:rPr>
          <w:rFonts w:hint="eastAsia" w:ascii="Times New Roman" w:hAnsi="Times New Roman" w:eastAsia="仿宋_GB2312"/>
          <w:sz w:val="28"/>
          <w:szCs w:val="28"/>
        </w:rPr>
        <w:t>所有加分项目截止日期同报名截止时间一致，未完赛竞赛、用稿通知等皆不予认定。</w:t>
      </w:r>
    </w:p>
    <w:p w14:paraId="3B17B0D4">
      <w:pPr>
        <w:spacing w:line="560" w:lineRule="exact"/>
        <w:ind w:firstLine="562" w:firstLineChars="200"/>
        <w:rPr>
          <w:rFonts w:ascii="Times New Roman" w:hAnsi="Times New Roman" w:eastAsia="仿宋_GB2312"/>
          <w:b/>
          <w:sz w:val="28"/>
          <w:szCs w:val="28"/>
        </w:rPr>
      </w:pPr>
      <w:r>
        <w:rPr>
          <w:rFonts w:ascii="Times New Roman" w:hAnsi="Times New Roman" w:eastAsia="仿宋_GB2312"/>
          <w:b/>
          <w:sz w:val="28"/>
          <w:szCs w:val="28"/>
        </w:rPr>
        <w:t>1.</w:t>
      </w:r>
      <w:r>
        <w:rPr>
          <w:rFonts w:ascii="Times New Roman" w:hAnsi="Times New Roman" w:eastAsia="仿宋_GB2312"/>
          <w:b/>
          <w:sz w:val="28"/>
        </w:rPr>
        <w:t xml:space="preserve"> </w:t>
      </w:r>
      <w:r>
        <w:rPr>
          <w:rFonts w:hint="eastAsia" w:ascii="Times New Roman" w:hAnsi="Times New Roman" w:eastAsia="仿宋_GB2312"/>
          <w:b/>
          <w:sz w:val="28"/>
          <w:szCs w:val="28"/>
        </w:rPr>
        <w:t>科研创新能力加分（满分</w:t>
      </w:r>
      <w:r>
        <w:rPr>
          <w:rFonts w:ascii="Times New Roman" w:hAnsi="Times New Roman" w:eastAsia="仿宋_GB2312"/>
          <w:b/>
          <w:sz w:val="28"/>
          <w:szCs w:val="28"/>
        </w:rPr>
        <w:t>60</w:t>
      </w:r>
      <w:r>
        <w:rPr>
          <w:rFonts w:hint="eastAsia" w:ascii="Times New Roman" w:hAnsi="Times New Roman" w:eastAsia="仿宋_GB2312"/>
          <w:b/>
          <w:sz w:val="28"/>
          <w:szCs w:val="28"/>
        </w:rPr>
        <w:t>分）</w:t>
      </w:r>
    </w:p>
    <w:p w14:paraId="052A3BFE">
      <w:pPr>
        <w:spacing w:line="56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校级奖励加分总数不超过满分的</w:t>
      </w:r>
      <w:r>
        <w:rPr>
          <w:rFonts w:ascii="Times New Roman" w:hAnsi="Times New Roman" w:eastAsia="仿宋_GB2312"/>
          <w:sz w:val="28"/>
          <w:szCs w:val="28"/>
        </w:rPr>
        <w:t>15%</w:t>
      </w:r>
      <w:r>
        <w:rPr>
          <w:rFonts w:hint="eastAsia" w:ascii="Times New Roman" w:hAnsi="Times New Roman" w:eastAsia="仿宋_GB2312"/>
          <w:sz w:val="28"/>
          <w:szCs w:val="28"/>
        </w:rPr>
        <w:t>，即科研创新能力加分中校级奖励加分不超过</w:t>
      </w:r>
      <w:r>
        <w:rPr>
          <w:rFonts w:ascii="Times New Roman" w:hAnsi="Times New Roman" w:eastAsia="仿宋_GB2312"/>
          <w:sz w:val="28"/>
          <w:szCs w:val="28"/>
        </w:rPr>
        <w:t>9</w:t>
      </w:r>
      <w:r>
        <w:rPr>
          <w:rFonts w:hint="eastAsia" w:ascii="Times New Roman" w:hAnsi="Times New Roman" w:eastAsia="仿宋_GB2312"/>
          <w:sz w:val="28"/>
          <w:szCs w:val="28"/>
        </w:rPr>
        <w:t>分。</w:t>
      </w:r>
    </w:p>
    <w:p w14:paraId="68C8728F">
      <w:pPr>
        <w:spacing w:line="56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w:t>
      </w:r>
      <w:r>
        <w:rPr>
          <w:rFonts w:ascii="Times New Roman" w:hAnsi="Times New Roman" w:eastAsia="仿宋_GB2312"/>
          <w:sz w:val="28"/>
          <w:szCs w:val="28"/>
        </w:rPr>
        <w:t>1</w:t>
      </w:r>
      <w:r>
        <w:rPr>
          <w:rFonts w:hint="eastAsia" w:ascii="Times New Roman" w:hAnsi="Times New Roman" w:eastAsia="仿宋_GB2312"/>
          <w:sz w:val="28"/>
          <w:szCs w:val="28"/>
        </w:rPr>
        <w:t>）学科竞赛类</w:t>
      </w:r>
    </w:p>
    <w:p w14:paraId="0E0E6809">
      <w:pPr>
        <w:spacing w:line="56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学科竞赛类主要包含数学竞赛、英语竞赛、计算机竞赛、学科专业性竞赛、综合素质竞赛等方面。</w:t>
      </w:r>
    </w:p>
    <w:p w14:paraId="19AB28EC">
      <w:pPr>
        <w:pStyle w:val="14"/>
        <w:spacing w:before="156" w:after="156"/>
        <w:rPr>
          <w:rFonts w:eastAsia="仿宋_GB2312"/>
          <w:sz w:val="28"/>
          <w:szCs w:val="28"/>
        </w:rPr>
      </w:pPr>
      <w:r>
        <w:rPr>
          <w:rFonts w:hint="eastAsia"/>
        </w:rPr>
        <w:t>表</w:t>
      </w:r>
      <w:r>
        <w:t xml:space="preserve">3 </w:t>
      </w:r>
      <w:r>
        <w:rPr>
          <w:rFonts w:hint="eastAsia"/>
        </w:rPr>
        <w:t>学科竞赛类项目</w:t>
      </w:r>
      <w:r>
        <w:t>名称列表</w:t>
      </w:r>
    </w:p>
    <w:tbl>
      <w:tblPr>
        <w:tblStyle w:val="9"/>
        <w:tblpPr w:leftFromText="180" w:rightFromText="180" w:vertAnchor="text" w:tblpXSpec="center" w:tblpY="4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5"/>
        <w:gridCol w:w="6197"/>
      </w:tblGrid>
      <w:tr w14:paraId="6FD54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64" w:type="pct"/>
            <w:vAlign w:val="center"/>
          </w:tcPr>
          <w:p w14:paraId="11BABDA3">
            <w:pPr>
              <w:pStyle w:val="16"/>
              <w:rPr>
                <w:sz w:val="20"/>
              </w:rPr>
            </w:pPr>
            <w:r>
              <w:rPr>
                <w:rFonts w:hint="eastAsia"/>
                <w:sz w:val="20"/>
              </w:rPr>
              <w:t>项目类别</w:t>
            </w:r>
          </w:p>
        </w:tc>
        <w:tc>
          <w:tcPr>
            <w:tcW w:w="3636" w:type="pct"/>
            <w:vAlign w:val="center"/>
          </w:tcPr>
          <w:p w14:paraId="2194C24F">
            <w:pPr>
              <w:pStyle w:val="16"/>
              <w:rPr>
                <w:sz w:val="20"/>
              </w:rPr>
            </w:pPr>
            <w:r>
              <w:rPr>
                <w:rFonts w:hint="eastAsia"/>
                <w:sz w:val="20"/>
              </w:rPr>
              <w:t>项目名称</w:t>
            </w:r>
          </w:p>
        </w:tc>
      </w:tr>
      <w:tr w14:paraId="5AB88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64" w:type="pct"/>
            <w:vMerge w:val="restart"/>
            <w:vAlign w:val="center"/>
          </w:tcPr>
          <w:p w14:paraId="73483EC7">
            <w:pPr>
              <w:pStyle w:val="16"/>
              <w:rPr>
                <w:sz w:val="20"/>
              </w:rPr>
            </w:pPr>
            <w:r>
              <w:rPr>
                <w:rFonts w:hint="eastAsia"/>
                <w:sz w:val="20"/>
              </w:rPr>
              <w:t>数学竞赛</w:t>
            </w:r>
          </w:p>
        </w:tc>
        <w:tc>
          <w:tcPr>
            <w:tcW w:w="3636" w:type="pct"/>
            <w:vAlign w:val="center"/>
          </w:tcPr>
          <w:p w14:paraId="4ABCE8CA">
            <w:pPr>
              <w:pStyle w:val="16"/>
              <w:rPr>
                <w:sz w:val="20"/>
              </w:rPr>
            </w:pPr>
            <w:r>
              <w:rPr>
                <w:rFonts w:hint="eastAsia"/>
                <w:sz w:val="20"/>
              </w:rPr>
              <w:t>全国大学生数学建模竞赛</w:t>
            </w:r>
          </w:p>
        </w:tc>
      </w:tr>
      <w:tr w14:paraId="23E2A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64" w:type="pct"/>
            <w:vMerge w:val="continue"/>
            <w:vAlign w:val="center"/>
          </w:tcPr>
          <w:p w14:paraId="4BE73AE9">
            <w:pPr>
              <w:pStyle w:val="16"/>
              <w:rPr>
                <w:sz w:val="20"/>
              </w:rPr>
            </w:pPr>
          </w:p>
        </w:tc>
        <w:tc>
          <w:tcPr>
            <w:tcW w:w="3636" w:type="pct"/>
            <w:vAlign w:val="center"/>
          </w:tcPr>
          <w:p w14:paraId="4B27735E">
            <w:pPr>
              <w:pStyle w:val="16"/>
              <w:rPr>
                <w:sz w:val="20"/>
              </w:rPr>
            </w:pPr>
            <w:r>
              <w:rPr>
                <w:rFonts w:hint="eastAsia"/>
                <w:sz w:val="20"/>
              </w:rPr>
              <w:t>全国大学生数学竞赛</w:t>
            </w:r>
          </w:p>
        </w:tc>
      </w:tr>
      <w:tr w14:paraId="5A196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64" w:type="pct"/>
            <w:vMerge w:val="continue"/>
            <w:vAlign w:val="center"/>
          </w:tcPr>
          <w:p w14:paraId="789DBEC4">
            <w:pPr>
              <w:pStyle w:val="16"/>
              <w:rPr>
                <w:sz w:val="20"/>
              </w:rPr>
            </w:pPr>
          </w:p>
        </w:tc>
        <w:tc>
          <w:tcPr>
            <w:tcW w:w="3636" w:type="pct"/>
            <w:vAlign w:val="center"/>
          </w:tcPr>
          <w:p w14:paraId="44E8F75C">
            <w:pPr>
              <w:pStyle w:val="16"/>
              <w:rPr>
                <w:sz w:val="20"/>
              </w:rPr>
            </w:pPr>
            <w:r>
              <w:rPr>
                <w:rFonts w:hint="eastAsia"/>
                <w:sz w:val="20"/>
              </w:rPr>
              <w:t>数学荣誉课程证书</w:t>
            </w:r>
          </w:p>
        </w:tc>
      </w:tr>
      <w:tr w14:paraId="5582C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64" w:type="pct"/>
            <w:vMerge w:val="restart"/>
            <w:vAlign w:val="center"/>
          </w:tcPr>
          <w:p w14:paraId="4A9CB885">
            <w:pPr>
              <w:pStyle w:val="16"/>
              <w:rPr>
                <w:sz w:val="20"/>
              </w:rPr>
            </w:pPr>
            <w:r>
              <w:rPr>
                <w:rFonts w:hint="eastAsia"/>
                <w:sz w:val="20"/>
              </w:rPr>
              <w:t>计算机竞赛</w:t>
            </w:r>
          </w:p>
        </w:tc>
        <w:tc>
          <w:tcPr>
            <w:tcW w:w="3636" w:type="pct"/>
            <w:vAlign w:val="center"/>
          </w:tcPr>
          <w:p w14:paraId="2DB00FBD">
            <w:pPr>
              <w:pStyle w:val="16"/>
              <w:rPr>
                <w:sz w:val="20"/>
              </w:rPr>
            </w:pPr>
            <w:r>
              <w:rPr>
                <w:rFonts w:hint="eastAsia"/>
                <w:sz w:val="20"/>
              </w:rPr>
              <w:t>全国大学生电子设计竞赛</w:t>
            </w:r>
          </w:p>
        </w:tc>
      </w:tr>
      <w:tr w14:paraId="2A2C8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64" w:type="pct"/>
            <w:vMerge w:val="continue"/>
            <w:vAlign w:val="center"/>
          </w:tcPr>
          <w:p w14:paraId="18FF0168">
            <w:pPr>
              <w:pStyle w:val="16"/>
              <w:rPr>
                <w:sz w:val="20"/>
              </w:rPr>
            </w:pPr>
          </w:p>
        </w:tc>
        <w:tc>
          <w:tcPr>
            <w:tcW w:w="3636" w:type="pct"/>
            <w:vAlign w:val="center"/>
          </w:tcPr>
          <w:p w14:paraId="7E767D7C">
            <w:pPr>
              <w:pStyle w:val="16"/>
              <w:rPr>
                <w:sz w:val="20"/>
              </w:rPr>
            </w:pPr>
            <w:r>
              <w:rPr>
                <w:rFonts w:hint="eastAsia"/>
                <w:sz w:val="20"/>
              </w:rPr>
              <w:t>中国大学生计算机设计大赛</w:t>
            </w:r>
          </w:p>
        </w:tc>
      </w:tr>
      <w:tr w14:paraId="052D8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64" w:type="pct"/>
            <w:vMerge w:val="restart"/>
            <w:vAlign w:val="center"/>
          </w:tcPr>
          <w:p w14:paraId="03DCD14C">
            <w:pPr>
              <w:pStyle w:val="16"/>
              <w:rPr>
                <w:sz w:val="20"/>
              </w:rPr>
            </w:pPr>
            <w:r>
              <w:rPr>
                <w:rFonts w:hint="eastAsia"/>
                <w:sz w:val="20"/>
              </w:rPr>
              <w:t>英语竞赛</w:t>
            </w:r>
          </w:p>
        </w:tc>
        <w:tc>
          <w:tcPr>
            <w:tcW w:w="3636" w:type="pct"/>
            <w:vAlign w:val="center"/>
          </w:tcPr>
          <w:p w14:paraId="532C4440">
            <w:pPr>
              <w:pStyle w:val="16"/>
              <w:rPr>
                <w:sz w:val="20"/>
              </w:rPr>
            </w:pPr>
            <w:r>
              <w:rPr>
                <w:rFonts w:hint="eastAsia"/>
                <w:sz w:val="20"/>
              </w:rPr>
              <w:t>“外研社杯”全国大学生英语辩论赛</w:t>
            </w:r>
          </w:p>
        </w:tc>
      </w:tr>
      <w:tr w14:paraId="05D35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64" w:type="pct"/>
            <w:vMerge w:val="continue"/>
            <w:vAlign w:val="center"/>
          </w:tcPr>
          <w:p w14:paraId="3D0E4CBB">
            <w:pPr>
              <w:pStyle w:val="16"/>
              <w:rPr>
                <w:sz w:val="20"/>
              </w:rPr>
            </w:pPr>
          </w:p>
        </w:tc>
        <w:tc>
          <w:tcPr>
            <w:tcW w:w="3636" w:type="pct"/>
            <w:vAlign w:val="center"/>
          </w:tcPr>
          <w:p w14:paraId="473C1801">
            <w:pPr>
              <w:pStyle w:val="16"/>
              <w:rPr>
                <w:sz w:val="20"/>
              </w:rPr>
            </w:pPr>
            <w:r>
              <w:rPr>
                <w:rFonts w:hint="eastAsia"/>
                <w:sz w:val="20"/>
              </w:rPr>
              <w:t>“</w:t>
            </w:r>
            <w:r>
              <w:rPr>
                <w:sz w:val="20"/>
              </w:rPr>
              <w:t>CCTV</w:t>
            </w:r>
            <w:r>
              <w:rPr>
                <w:rFonts w:hint="eastAsia"/>
                <w:sz w:val="20"/>
              </w:rPr>
              <w:t>杯”全国英语演讲比赛</w:t>
            </w:r>
          </w:p>
        </w:tc>
      </w:tr>
      <w:tr w14:paraId="6E17F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64" w:type="pct"/>
            <w:vMerge w:val="continue"/>
            <w:vAlign w:val="center"/>
          </w:tcPr>
          <w:p w14:paraId="72C42201">
            <w:pPr>
              <w:pStyle w:val="16"/>
              <w:rPr>
                <w:sz w:val="20"/>
              </w:rPr>
            </w:pPr>
          </w:p>
        </w:tc>
        <w:tc>
          <w:tcPr>
            <w:tcW w:w="3636" w:type="pct"/>
            <w:vAlign w:val="center"/>
          </w:tcPr>
          <w:p w14:paraId="40D22E0A">
            <w:pPr>
              <w:pStyle w:val="16"/>
              <w:rPr>
                <w:sz w:val="20"/>
              </w:rPr>
            </w:pPr>
            <w:r>
              <w:rPr>
                <w:rFonts w:hint="eastAsia"/>
                <w:sz w:val="20"/>
              </w:rPr>
              <w:t>“</w:t>
            </w:r>
            <w:r>
              <w:rPr>
                <w:sz w:val="20"/>
              </w:rPr>
              <w:t>CCTV</w:t>
            </w:r>
            <w:r>
              <w:rPr>
                <w:rFonts w:hint="eastAsia"/>
                <w:sz w:val="20"/>
              </w:rPr>
              <w:t>”国际大专辩论赛</w:t>
            </w:r>
          </w:p>
        </w:tc>
      </w:tr>
      <w:tr w14:paraId="69DBA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64" w:type="pct"/>
            <w:vMerge w:val="continue"/>
            <w:vAlign w:val="center"/>
          </w:tcPr>
          <w:p w14:paraId="30EEE948">
            <w:pPr>
              <w:pStyle w:val="16"/>
              <w:rPr>
                <w:sz w:val="20"/>
              </w:rPr>
            </w:pPr>
          </w:p>
        </w:tc>
        <w:tc>
          <w:tcPr>
            <w:tcW w:w="3636" w:type="pct"/>
            <w:vAlign w:val="center"/>
          </w:tcPr>
          <w:p w14:paraId="64F0017E">
            <w:pPr>
              <w:pStyle w:val="16"/>
              <w:rPr>
                <w:sz w:val="20"/>
              </w:rPr>
            </w:pPr>
            <w:r>
              <w:rPr>
                <w:rFonts w:hint="eastAsia"/>
                <w:sz w:val="20"/>
              </w:rPr>
              <w:t>全国大学生英语竞赛（</w:t>
            </w:r>
            <w:r>
              <w:rPr>
                <w:sz w:val="20"/>
              </w:rPr>
              <w:t>NECCS</w:t>
            </w:r>
            <w:r>
              <w:rPr>
                <w:rFonts w:hint="eastAsia"/>
                <w:sz w:val="20"/>
              </w:rPr>
              <w:t>）</w:t>
            </w:r>
          </w:p>
        </w:tc>
      </w:tr>
      <w:tr w14:paraId="16F27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64" w:type="pct"/>
            <w:vMerge w:val="restart"/>
            <w:vAlign w:val="center"/>
          </w:tcPr>
          <w:p w14:paraId="44C7E1CB">
            <w:pPr>
              <w:pStyle w:val="16"/>
              <w:rPr>
                <w:sz w:val="20"/>
              </w:rPr>
            </w:pPr>
            <w:r>
              <w:rPr>
                <w:rFonts w:hint="eastAsia"/>
                <w:sz w:val="20"/>
              </w:rPr>
              <w:t>学科专业性竞赛</w:t>
            </w:r>
          </w:p>
        </w:tc>
        <w:tc>
          <w:tcPr>
            <w:tcW w:w="3636" w:type="pct"/>
            <w:vAlign w:val="center"/>
          </w:tcPr>
          <w:p w14:paraId="2E503442">
            <w:pPr>
              <w:pStyle w:val="16"/>
              <w:rPr>
                <w:sz w:val="20"/>
              </w:rPr>
            </w:pPr>
            <w:r>
              <w:rPr>
                <w:rFonts w:hint="eastAsia"/>
                <w:sz w:val="20"/>
              </w:rPr>
              <w:t>国际企业管理挑战赛（简称</w:t>
            </w:r>
            <w:r>
              <w:rPr>
                <w:sz w:val="20"/>
              </w:rPr>
              <w:t>GMC</w:t>
            </w:r>
            <w:r>
              <w:rPr>
                <w:rFonts w:hint="eastAsia"/>
                <w:sz w:val="20"/>
              </w:rPr>
              <w:t>）</w:t>
            </w:r>
          </w:p>
        </w:tc>
      </w:tr>
      <w:tr w14:paraId="4DBA5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64" w:type="pct"/>
            <w:vMerge w:val="continue"/>
            <w:vAlign w:val="center"/>
          </w:tcPr>
          <w:p w14:paraId="3B062CB4">
            <w:pPr>
              <w:pStyle w:val="16"/>
              <w:rPr>
                <w:sz w:val="20"/>
              </w:rPr>
            </w:pPr>
          </w:p>
        </w:tc>
        <w:tc>
          <w:tcPr>
            <w:tcW w:w="3636" w:type="pct"/>
            <w:vAlign w:val="center"/>
          </w:tcPr>
          <w:p w14:paraId="3E447041">
            <w:pPr>
              <w:pStyle w:val="16"/>
              <w:rPr>
                <w:sz w:val="20"/>
              </w:rPr>
            </w:pPr>
            <w:r>
              <w:rPr>
                <w:rFonts w:hint="eastAsia"/>
                <w:sz w:val="20"/>
              </w:rPr>
              <w:t>全国管理决策模拟大赛</w:t>
            </w:r>
          </w:p>
        </w:tc>
      </w:tr>
      <w:tr w14:paraId="7C11C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64" w:type="pct"/>
            <w:vMerge w:val="continue"/>
            <w:vAlign w:val="center"/>
          </w:tcPr>
          <w:p w14:paraId="4B66DC31">
            <w:pPr>
              <w:pStyle w:val="16"/>
              <w:rPr>
                <w:sz w:val="20"/>
              </w:rPr>
            </w:pPr>
          </w:p>
        </w:tc>
        <w:tc>
          <w:tcPr>
            <w:tcW w:w="3636" w:type="pct"/>
            <w:vAlign w:val="center"/>
          </w:tcPr>
          <w:p w14:paraId="08F51766">
            <w:pPr>
              <w:pStyle w:val="16"/>
              <w:rPr>
                <w:sz w:val="20"/>
              </w:rPr>
            </w:pPr>
            <w:r>
              <w:rPr>
                <w:rFonts w:hint="eastAsia"/>
                <w:sz w:val="20"/>
              </w:rPr>
              <w:t>全国供应链大赛</w:t>
            </w:r>
          </w:p>
        </w:tc>
      </w:tr>
      <w:tr w14:paraId="3C6EA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64" w:type="pct"/>
            <w:vMerge w:val="continue"/>
            <w:vAlign w:val="center"/>
          </w:tcPr>
          <w:p w14:paraId="6E0714B2">
            <w:pPr>
              <w:pStyle w:val="16"/>
              <w:rPr>
                <w:sz w:val="20"/>
              </w:rPr>
            </w:pPr>
          </w:p>
        </w:tc>
        <w:tc>
          <w:tcPr>
            <w:tcW w:w="3636" w:type="pct"/>
            <w:vAlign w:val="center"/>
          </w:tcPr>
          <w:p w14:paraId="605C8462">
            <w:pPr>
              <w:pStyle w:val="16"/>
              <w:rPr>
                <w:sz w:val="20"/>
              </w:rPr>
            </w:pPr>
            <w:r>
              <w:rPr>
                <w:rFonts w:hint="eastAsia"/>
                <w:sz w:val="20"/>
              </w:rPr>
              <w:t>营销策划大赛</w:t>
            </w:r>
          </w:p>
        </w:tc>
      </w:tr>
      <w:tr w14:paraId="7B7EB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64" w:type="pct"/>
            <w:vMerge w:val="continue"/>
            <w:vAlign w:val="center"/>
          </w:tcPr>
          <w:p w14:paraId="70107A61">
            <w:pPr>
              <w:pStyle w:val="16"/>
              <w:rPr>
                <w:sz w:val="20"/>
              </w:rPr>
            </w:pPr>
          </w:p>
        </w:tc>
        <w:tc>
          <w:tcPr>
            <w:tcW w:w="3636" w:type="pct"/>
            <w:vAlign w:val="center"/>
          </w:tcPr>
          <w:p w14:paraId="54847DDA">
            <w:pPr>
              <w:pStyle w:val="16"/>
              <w:rPr>
                <w:sz w:val="20"/>
              </w:rPr>
            </w:pPr>
            <w:r>
              <w:rPr>
                <w:rFonts w:hint="eastAsia"/>
                <w:sz w:val="20"/>
              </w:rPr>
              <w:t>全国大学生红色旅游创意策划大赛</w:t>
            </w:r>
          </w:p>
        </w:tc>
      </w:tr>
      <w:tr w14:paraId="19EE5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64" w:type="pct"/>
            <w:vMerge w:val="continue"/>
            <w:vAlign w:val="center"/>
          </w:tcPr>
          <w:p w14:paraId="772710FF">
            <w:pPr>
              <w:pStyle w:val="16"/>
              <w:rPr>
                <w:sz w:val="20"/>
              </w:rPr>
            </w:pPr>
          </w:p>
        </w:tc>
        <w:tc>
          <w:tcPr>
            <w:tcW w:w="3636" w:type="pct"/>
            <w:vAlign w:val="center"/>
          </w:tcPr>
          <w:p w14:paraId="6756CFF1">
            <w:pPr>
              <w:pStyle w:val="16"/>
              <w:rPr>
                <w:sz w:val="20"/>
              </w:rPr>
            </w:pPr>
            <w:r>
              <w:rPr>
                <w:rFonts w:hint="eastAsia"/>
                <w:sz w:val="20"/>
              </w:rPr>
              <w:t>中国大学生人力资源职业技能大赛（</w:t>
            </w:r>
            <w:r>
              <w:rPr>
                <w:sz w:val="20"/>
              </w:rPr>
              <w:t>HRU</w:t>
            </w:r>
            <w:r>
              <w:rPr>
                <w:rFonts w:hint="eastAsia"/>
                <w:sz w:val="20"/>
              </w:rPr>
              <w:t>）</w:t>
            </w:r>
          </w:p>
        </w:tc>
      </w:tr>
      <w:tr w14:paraId="2E86B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64" w:type="pct"/>
            <w:vAlign w:val="center"/>
          </w:tcPr>
          <w:p w14:paraId="298F6F6B">
            <w:pPr>
              <w:pStyle w:val="16"/>
              <w:rPr>
                <w:sz w:val="20"/>
              </w:rPr>
            </w:pPr>
            <w:r>
              <w:rPr>
                <w:rFonts w:hint="eastAsia"/>
                <w:sz w:val="20"/>
              </w:rPr>
              <w:t>综合素质竞赛</w:t>
            </w:r>
          </w:p>
        </w:tc>
        <w:tc>
          <w:tcPr>
            <w:tcW w:w="3636" w:type="pct"/>
            <w:vAlign w:val="center"/>
          </w:tcPr>
          <w:p w14:paraId="5057661F">
            <w:pPr>
              <w:pStyle w:val="16"/>
              <w:rPr>
                <w:sz w:val="20"/>
              </w:rPr>
            </w:pPr>
            <w:r>
              <w:rPr>
                <w:rFonts w:hint="eastAsia"/>
                <w:sz w:val="20"/>
              </w:rPr>
              <w:t>西南财经大学读书笔记大赛</w:t>
            </w:r>
          </w:p>
        </w:tc>
      </w:tr>
    </w:tbl>
    <w:p w14:paraId="44E7ECB1">
      <w:pPr>
        <w:spacing w:line="56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注：</w:t>
      </w:r>
    </w:p>
    <w:p w14:paraId="73A25F56">
      <w:pPr>
        <w:spacing w:line="56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①</w:t>
      </w:r>
      <w:r>
        <w:rPr>
          <w:rFonts w:hint="eastAsia" w:ascii="Times New Roman" w:hAnsi="Times New Roman" w:eastAsia="仿宋_GB2312"/>
          <w:sz w:val="28"/>
        </w:rPr>
        <w:t>学科竞赛类设置数学竞赛、英语竞赛、计算机竞赛、学科专业性竞赛、综合竞赛等五个方面，学生在不同方面获得奖项可以累积加分，在同一方面中有多项加分情况时，只取最高一项。</w:t>
      </w:r>
    </w:p>
    <w:p w14:paraId="22ED104E">
      <w:pPr>
        <w:spacing w:line="560" w:lineRule="exact"/>
        <w:ind w:firstLine="560" w:firstLineChars="200"/>
        <w:rPr>
          <w:rFonts w:ascii="Times New Roman" w:hAnsi="Times New Roman" w:eastAsia="仿宋_GB2312"/>
          <w:sz w:val="28"/>
        </w:rPr>
      </w:pPr>
      <w:r>
        <w:rPr>
          <w:rFonts w:hint="eastAsia" w:ascii="Times New Roman" w:hAnsi="Times New Roman" w:eastAsia="仿宋_GB2312"/>
          <w:sz w:val="28"/>
          <w:szCs w:val="28"/>
        </w:rPr>
        <w:t>②</w:t>
      </w:r>
      <w:r>
        <w:rPr>
          <w:rFonts w:hint="eastAsia" w:ascii="Times New Roman" w:hAnsi="Times New Roman" w:eastAsia="仿宋_GB2312"/>
          <w:sz w:val="28"/>
        </w:rPr>
        <w:t>国际企业管理挑战赛（简称</w:t>
      </w:r>
      <w:r>
        <w:rPr>
          <w:rFonts w:ascii="Times New Roman" w:hAnsi="Times New Roman" w:eastAsia="仿宋_GB2312"/>
          <w:sz w:val="28"/>
        </w:rPr>
        <w:t>GMC</w:t>
      </w:r>
      <w:r>
        <w:rPr>
          <w:rFonts w:hint="eastAsia" w:ascii="Times New Roman" w:hAnsi="Times New Roman" w:eastAsia="仿宋_GB2312"/>
          <w:sz w:val="28"/>
        </w:rPr>
        <w:t>）</w:t>
      </w:r>
      <w:r>
        <w:rPr>
          <w:rFonts w:hint="eastAsia" w:ascii="Times New Roman" w:hAnsi="Times New Roman" w:eastAsia="仿宋_GB2312"/>
          <w:sz w:val="28"/>
          <w:szCs w:val="28"/>
        </w:rPr>
        <w:t>按照以下标准认定：</w:t>
      </w:r>
      <w:r>
        <w:rPr>
          <w:rFonts w:hint="eastAsia" w:ascii="Times New Roman" w:hAnsi="Times New Roman" w:eastAsia="仿宋_GB2312"/>
          <w:sz w:val="28"/>
        </w:rPr>
        <w:t>全国总决赛冠、亚、季军</w:t>
      </w:r>
      <w:r>
        <w:rPr>
          <w:rFonts w:ascii="Times New Roman" w:hAnsi="Times New Roman" w:eastAsia="仿宋_GB2312"/>
          <w:sz w:val="28"/>
        </w:rPr>
        <w:t>认定为国家级一等奖</w:t>
      </w:r>
      <w:r>
        <w:rPr>
          <w:rFonts w:hint="eastAsia" w:ascii="Times New Roman" w:hAnsi="Times New Roman" w:eastAsia="仿宋_GB2312"/>
          <w:sz w:val="28"/>
        </w:rPr>
        <w:t>，第</w:t>
      </w:r>
      <w:r>
        <w:rPr>
          <w:rFonts w:ascii="Times New Roman" w:hAnsi="Times New Roman" w:eastAsia="仿宋_GB2312"/>
          <w:sz w:val="28"/>
        </w:rPr>
        <w:t>4名至第10名认定为国家级二等奖，</w:t>
      </w:r>
      <w:r>
        <w:rPr>
          <w:rFonts w:hint="eastAsia" w:ascii="Times New Roman" w:hAnsi="Times New Roman" w:eastAsia="仿宋_GB2312"/>
          <w:sz w:val="28"/>
        </w:rPr>
        <w:t>第</w:t>
      </w:r>
      <w:r>
        <w:rPr>
          <w:rFonts w:ascii="Times New Roman" w:hAnsi="Times New Roman" w:eastAsia="仿宋_GB2312"/>
          <w:sz w:val="28"/>
        </w:rPr>
        <w:t>11名至第32名认定为国家级三等奖</w:t>
      </w:r>
      <w:r>
        <w:rPr>
          <w:rFonts w:hint="eastAsia" w:ascii="Times New Roman" w:hAnsi="Times New Roman" w:eastAsia="仿宋_GB2312"/>
          <w:sz w:val="28"/>
        </w:rPr>
        <w:t>，其他</w:t>
      </w:r>
      <w:r>
        <w:rPr>
          <w:rFonts w:ascii="Times New Roman" w:hAnsi="Times New Roman" w:eastAsia="仿宋_GB2312"/>
          <w:sz w:val="28"/>
        </w:rPr>
        <w:t>不再加分</w:t>
      </w:r>
      <w:r>
        <w:rPr>
          <w:rFonts w:hint="eastAsia" w:ascii="Times New Roman" w:hAnsi="Times New Roman" w:eastAsia="仿宋_GB2312"/>
          <w:sz w:val="28"/>
        </w:rPr>
        <w:t>。</w:t>
      </w:r>
    </w:p>
    <w:p w14:paraId="7EA67E33">
      <w:pPr>
        <w:spacing w:line="560" w:lineRule="exact"/>
        <w:ind w:firstLine="560" w:firstLineChars="200"/>
        <w:rPr>
          <w:rFonts w:ascii="Times New Roman" w:hAnsi="Times New Roman" w:eastAsia="仿宋_GB2312"/>
          <w:sz w:val="28"/>
        </w:rPr>
      </w:pPr>
      <w:r>
        <w:rPr>
          <w:rFonts w:hint="eastAsia" w:ascii="Times New Roman" w:hAnsi="Times New Roman" w:eastAsia="仿宋_GB2312" w:cs="仿宋_GB2312"/>
          <w:sz w:val="28"/>
          <w:szCs w:val="28"/>
        </w:rPr>
        <w:t>③</w:t>
      </w:r>
      <w:r>
        <w:rPr>
          <w:rFonts w:hint="eastAsia" w:ascii="Times New Roman" w:hAnsi="Times New Roman" w:eastAsia="仿宋_GB2312"/>
          <w:sz w:val="28"/>
          <w:szCs w:val="28"/>
        </w:rPr>
        <w:t>取得</w:t>
      </w:r>
      <w:r>
        <w:rPr>
          <w:rFonts w:hint="eastAsia" w:ascii="Times New Roman" w:hAnsi="Times New Roman" w:eastAsia="仿宋_GB2312"/>
          <w:sz w:val="28"/>
        </w:rPr>
        <w:t>数学荣誉课程证书以</w:t>
      </w:r>
      <w:r>
        <w:rPr>
          <w:rFonts w:ascii="Times New Roman" w:hAnsi="Times New Roman" w:eastAsia="仿宋_GB2312"/>
          <w:sz w:val="28"/>
        </w:rPr>
        <w:t>校级</w:t>
      </w:r>
      <w:r>
        <w:rPr>
          <w:rFonts w:hint="eastAsia" w:ascii="Times New Roman" w:hAnsi="Times New Roman" w:eastAsia="仿宋_GB2312"/>
          <w:sz w:val="28"/>
        </w:rPr>
        <w:t>一等</w:t>
      </w:r>
      <w:r>
        <w:rPr>
          <w:rFonts w:ascii="Times New Roman" w:hAnsi="Times New Roman" w:eastAsia="仿宋_GB2312"/>
          <w:sz w:val="28"/>
        </w:rPr>
        <w:t>奖</w:t>
      </w:r>
      <w:r>
        <w:rPr>
          <w:rFonts w:hint="eastAsia" w:ascii="Times New Roman" w:hAnsi="Times New Roman" w:eastAsia="仿宋_GB2312"/>
          <w:sz w:val="28"/>
        </w:rPr>
        <w:t>加分</w:t>
      </w:r>
      <w:r>
        <w:rPr>
          <w:rFonts w:ascii="Times New Roman" w:hAnsi="Times New Roman" w:eastAsia="仿宋_GB2312"/>
          <w:sz w:val="28"/>
        </w:rPr>
        <w:t>。</w:t>
      </w:r>
    </w:p>
    <w:p w14:paraId="06D6CE10">
      <w:pPr>
        <w:spacing w:line="56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w:t>
      </w:r>
      <w:r>
        <w:rPr>
          <w:rFonts w:ascii="Times New Roman" w:hAnsi="Times New Roman" w:eastAsia="仿宋_GB2312"/>
          <w:sz w:val="28"/>
          <w:szCs w:val="28"/>
        </w:rPr>
        <w:t>2</w:t>
      </w:r>
      <w:r>
        <w:rPr>
          <w:rFonts w:hint="eastAsia" w:ascii="Times New Roman" w:hAnsi="Times New Roman" w:eastAsia="仿宋_GB2312"/>
          <w:sz w:val="28"/>
          <w:szCs w:val="28"/>
        </w:rPr>
        <w:t>）创新创业类</w:t>
      </w:r>
    </w:p>
    <w:p w14:paraId="2EB388FD">
      <w:pPr>
        <w:spacing w:line="56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创新创业类包含“挑战杯”大学生课外学术科技作品竞赛、“创青春”大学生创业大赛、“互联网</w:t>
      </w:r>
      <w:r>
        <w:rPr>
          <w:rFonts w:ascii="Times New Roman" w:hAnsi="Times New Roman" w:eastAsia="仿宋_GB2312"/>
          <w:sz w:val="28"/>
          <w:szCs w:val="28"/>
        </w:rPr>
        <w:t>+</w:t>
      </w:r>
      <w:r>
        <w:rPr>
          <w:rFonts w:hint="eastAsia" w:ascii="Times New Roman" w:hAnsi="Times New Roman" w:eastAsia="仿宋_GB2312"/>
          <w:sz w:val="28"/>
          <w:szCs w:val="28"/>
        </w:rPr>
        <w:t>”新大学生创新创业大赛等方面。</w:t>
      </w:r>
    </w:p>
    <w:p w14:paraId="6E5882E5">
      <w:pPr>
        <w:pStyle w:val="14"/>
        <w:spacing w:before="156" w:after="156"/>
        <w:rPr>
          <w:rFonts w:eastAsia="仿宋_GB2312"/>
          <w:sz w:val="28"/>
          <w:szCs w:val="28"/>
        </w:rPr>
      </w:pPr>
      <w:r>
        <w:rPr>
          <w:rFonts w:hint="eastAsia"/>
        </w:rPr>
        <w:t>表</w:t>
      </w:r>
      <w:r>
        <w:t xml:space="preserve">4 </w:t>
      </w:r>
      <w:r>
        <w:rPr>
          <w:rFonts w:hint="eastAsia"/>
        </w:rPr>
        <w:t>创新创业类项目</w:t>
      </w:r>
      <w:r>
        <w:t>名称列表</w:t>
      </w:r>
    </w:p>
    <w:tbl>
      <w:tblPr>
        <w:tblStyle w:val="9"/>
        <w:tblpPr w:leftFromText="180" w:rightFromText="180" w:vertAnchor="text" w:tblpXSpec="center" w:tblpY="4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5"/>
        <w:gridCol w:w="6197"/>
      </w:tblGrid>
      <w:tr w14:paraId="6D52A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64" w:type="pct"/>
            <w:vAlign w:val="center"/>
          </w:tcPr>
          <w:p w14:paraId="5D835E6B">
            <w:pPr>
              <w:pStyle w:val="16"/>
              <w:rPr>
                <w:sz w:val="20"/>
              </w:rPr>
            </w:pPr>
            <w:r>
              <w:rPr>
                <w:rFonts w:hint="eastAsia"/>
                <w:sz w:val="20"/>
              </w:rPr>
              <w:t>项目类别</w:t>
            </w:r>
          </w:p>
        </w:tc>
        <w:tc>
          <w:tcPr>
            <w:tcW w:w="3636" w:type="pct"/>
            <w:vAlign w:val="center"/>
          </w:tcPr>
          <w:p w14:paraId="476BCDE4">
            <w:pPr>
              <w:pStyle w:val="16"/>
              <w:rPr>
                <w:sz w:val="20"/>
              </w:rPr>
            </w:pPr>
            <w:r>
              <w:rPr>
                <w:rFonts w:hint="eastAsia"/>
                <w:sz w:val="20"/>
              </w:rPr>
              <w:t>项目名称</w:t>
            </w:r>
          </w:p>
        </w:tc>
      </w:tr>
      <w:tr w14:paraId="5628C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64" w:type="pct"/>
            <w:vMerge w:val="restart"/>
            <w:vAlign w:val="center"/>
          </w:tcPr>
          <w:p w14:paraId="18F68C96">
            <w:pPr>
              <w:pStyle w:val="16"/>
              <w:rPr>
                <w:sz w:val="20"/>
              </w:rPr>
            </w:pPr>
            <w:r>
              <w:rPr>
                <w:rFonts w:hint="eastAsia"/>
                <w:sz w:val="20"/>
              </w:rPr>
              <w:t>创新创业类</w:t>
            </w:r>
          </w:p>
        </w:tc>
        <w:tc>
          <w:tcPr>
            <w:tcW w:w="3636" w:type="pct"/>
            <w:vAlign w:val="center"/>
          </w:tcPr>
          <w:p w14:paraId="29812C00">
            <w:pPr>
              <w:pStyle w:val="16"/>
              <w:rPr>
                <w:sz w:val="20"/>
              </w:rPr>
            </w:pPr>
            <w:r>
              <w:rPr>
                <w:rFonts w:hint="eastAsia"/>
                <w:sz w:val="20"/>
              </w:rPr>
              <w:t>“挑战杯”全国大学生课外学术科技作品竞赛</w:t>
            </w:r>
          </w:p>
        </w:tc>
      </w:tr>
      <w:tr w14:paraId="65172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64" w:type="pct"/>
            <w:vMerge w:val="continue"/>
            <w:vAlign w:val="center"/>
          </w:tcPr>
          <w:p w14:paraId="036F89C1">
            <w:pPr>
              <w:pStyle w:val="16"/>
              <w:rPr>
                <w:sz w:val="20"/>
              </w:rPr>
            </w:pPr>
          </w:p>
        </w:tc>
        <w:tc>
          <w:tcPr>
            <w:tcW w:w="3636" w:type="pct"/>
            <w:vAlign w:val="center"/>
          </w:tcPr>
          <w:p w14:paraId="0D8FC0EE">
            <w:pPr>
              <w:pStyle w:val="16"/>
              <w:rPr>
                <w:sz w:val="20"/>
              </w:rPr>
            </w:pPr>
            <w:r>
              <w:rPr>
                <w:rFonts w:hint="eastAsia"/>
                <w:sz w:val="20"/>
              </w:rPr>
              <w:t>“挑战杯”中国大学生创业计划竞赛</w:t>
            </w:r>
          </w:p>
        </w:tc>
      </w:tr>
      <w:tr w14:paraId="7ED2F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64" w:type="pct"/>
            <w:vMerge w:val="continue"/>
            <w:vAlign w:val="center"/>
          </w:tcPr>
          <w:p w14:paraId="1FEFA8FF">
            <w:pPr>
              <w:pStyle w:val="16"/>
              <w:rPr>
                <w:sz w:val="20"/>
              </w:rPr>
            </w:pPr>
          </w:p>
        </w:tc>
        <w:tc>
          <w:tcPr>
            <w:tcW w:w="3636" w:type="pct"/>
            <w:vAlign w:val="center"/>
          </w:tcPr>
          <w:p w14:paraId="2AED1EE0">
            <w:pPr>
              <w:pStyle w:val="16"/>
              <w:rPr>
                <w:sz w:val="20"/>
              </w:rPr>
            </w:pPr>
            <w:r>
              <w:rPr>
                <w:rFonts w:hint="eastAsia"/>
                <w:sz w:val="20"/>
              </w:rPr>
              <w:t>“互联网</w:t>
            </w:r>
            <w:r>
              <w:rPr>
                <w:sz w:val="20"/>
              </w:rPr>
              <w:t>+</w:t>
            </w:r>
            <w:r>
              <w:rPr>
                <w:rFonts w:hint="eastAsia"/>
                <w:sz w:val="20"/>
              </w:rPr>
              <w:t>”大学生创新创业大赛</w:t>
            </w:r>
          </w:p>
        </w:tc>
      </w:tr>
      <w:tr w14:paraId="126BF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64" w:type="pct"/>
            <w:vMerge w:val="continue"/>
            <w:vAlign w:val="center"/>
          </w:tcPr>
          <w:p w14:paraId="5B577EFE">
            <w:pPr>
              <w:pStyle w:val="16"/>
              <w:rPr>
                <w:sz w:val="20"/>
              </w:rPr>
            </w:pPr>
          </w:p>
        </w:tc>
        <w:tc>
          <w:tcPr>
            <w:tcW w:w="3636" w:type="pct"/>
            <w:vAlign w:val="center"/>
          </w:tcPr>
          <w:p w14:paraId="7E11D0DD">
            <w:pPr>
              <w:pStyle w:val="16"/>
              <w:rPr>
                <w:sz w:val="20"/>
              </w:rPr>
            </w:pPr>
            <w:r>
              <w:rPr>
                <w:rFonts w:hint="eastAsia"/>
                <w:sz w:val="20"/>
              </w:rPr>
              <w:t>全国大学生电子商务“创新、创意及创业”挑战赛</w:t>
            </w:r>
          </w:p>
        </w:tc>
      </w:tr>
      <w:tr w14:paraId="188E1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64" w:type="pct"/>
            <w:vMerge w:val="continue"/>
            <w:vAlign w:val="center"/>
          </w:tcPr>
          <w:p w14:paraId="3F66985D">
            <w:pPr>
              <w:pStyle w:val="16"/>
              <w:rPr>
                <w:sz w:val="20"/>
              </w:rPr>
            </w:pPr>
          </w:p>
        </w:tc>
        <w:tc>
          <w:tcPr>
            <w:tcW w:w="3636" w:type="pct"/>
            <w:vAlign w:val="center"/>
          </w:tcPr>
          <w:p w14:paraId="1C323A2D">
            <w:pPr>
              <w:pStyle w:val="16"/>
              <w:rPr>
                <w:sz w:val="20"/>
              </w:rPr>
            </w:pPr>
            <w:r>
              <w:rPr>
                <w:rFonts w:hint="eastAsia"/>
                <w:sz w:val="20"/>
              </w:rPr>
              <w:t>西南财经大学光华创业大赛</w:t>
            </w:r>
          </w:p>
        </w:tc>
      </w:tr>
      <w:tr w14:paraId="61B3D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64" w:type="pct"/>
            <w:vMerge w:val="continue"/>
            <w:vAlign w:val="center"/>
          </w:tcPr>
          <w:p w14:paraId="410ABE1B">
            <w:pPr>
              <w:pStyle w:val="16"/>
              <w:rPr>
                <w:sz w:val="20"/>
              </w:rPr>
            </w:pPr>
          </w:p>
        </w:tc>
        <w:tc>
          <w:tcPr>
            <w:tcW w:w="3636" w:type="pct"/>
            <w:vAlign w:val="center"/>
          </w:tcPr>
          <w:p w14:paraId="692FFF90">
            <w:pPr>
              <w:pStyle w:val="16"/>
              <w:rPr>
                <w:sz w:val="20"/>
              </w:rPr>
            </w:pPr>
            <w:r>
              <w:rPr>
                <w:sz w:val="20"/>
              </w:rPr>
              <w:t>ISWUFE</w:t>
            </w:r>
            <w:r>
              <w:rPr>
                <w:rFonts w:hint="eastAsia"/>
                <w:sz w:val="20"/>
              </w:rPr>
              <w:t>国际化大学生创业计划大赛</w:t>
            </w:r>
          </w:p>
        </w:tc>
      </w:tr>
    </w:tbl>
    <w:p w14:paraId="55293DD9">
      <w:pPr>
        <w:spacing w:line="56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注：</w:t>
      </w:r>
    </w:p>
    <w:p w14:paraId="57BCFE35">
      <w:pPr>
        <w:spacing w:line="560" w:lineRule="exact"/>
        <w:ind w:firstLine="560" w:firstLineChars="200"/>
        <w:rPr>
          <w:rFonts w:ascii="Times New Roman" w:hAnsi="Times New Roman" w:eastAsia="仿宋_GB2312"/>
          <w:sz w:val="28"/>
        </w:rPr>
      </w:pPr>
      <w:r>
        <w:rPr>
          <w:rFonts w:hint="eastAsia" w:ascii="Times New Roman" w:hAnsi="Times New Roman" w:eastAsia="仿宋_GB2312"/>
          <w:sz w:val="28"/>
        </w:rPr>
        <w:t>创新创业类设置一个方面，学生在同一方面中有多项加分情况时，只取最高一项。</w:t>
      </w:r>
    </w:p>
    <w:p w14:paraId="5F68B36C">
      <w:pPr>
        <w:spacing w:line="56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w:t>
      </w:r>
      <w:r>
        <w:rPr>
          <w:rFonts w:ascii="Times New Roman" w:hAnsi="Times New Roman" w:eastAsia="仿宋_GB2312"/>
          <w:sz w:val="28"/>
          <w:szCs w:val="28"/>
        </w:rPr>
        <w:t>3</w:t>
      </w:r>
      <w:r>
        <w:rPr>
          <w:rFonts w:hint="eastAsia" w:ascii="Times New Roman" w:hAnsi="Times New Roman" w:eastAsia="仿宋_GB2312"/>
          <w:sz w:val="28"/>
          <w:szCs w:val="28"/>
        </w:rPr>
        <w:t>）科研成果类</w:t>
      </w:r>
    </w:p>
    <w:p w14:paraId="60C7E4BF">
      <w:pPr>
        <w:spacing w:line="56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科研成果类主要包含学术论文、科研训练项目等方面。</w:t>
      </w:r>
    </w:p>
    <w:p w14:paraId="51F51D57">
      <w:pPr>
        <w:pStyle w:val="14"/>
        <w:spacing w:before="156" w:after="156"/>
        <w:rPr>
          <w:rFonts w:eastAsia="仿宋_GB2312"/>
          <w:sz w:val="28"/>
          <w:szCs w:val="28"/>
        </w:rPr>
      </w:pPr>
      <w:r>
        <w:rPr>
          <w:rFonts w:hint="eastAsia"/>
        </w:rPr>
        <w:t>表</w:t>
      </w:r>
      <w:r>
        <w:t xml:space="preserve">5 </w:t>
      </w:r>
      <w:r>
        <w:rPr>
          <w:rFonts w:hint="eastAsia"/>
        </w:rPr>
        <w:t>科研成果类项目</w:t>
      </w:r>
      <w:r>
        <w:t>名称列表</w:t>
      </w:r>
    </w:p>
    <w:tbl>
      <w:tblPr>
        <w:tblStyle w:val="9"/>
        <w:tblpPr w:leftFromText="180" w:rightFromText="180" w:vertAnchor="text" w:tblpXSpec="center" w:tblpY="42"/>
        <w:tblW w:w="502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8"/>
        <w:gridCol w:w="3378"/>
        <w:gridCol w:w="1756"/>
        <w:gridCol w:w="1546"/>
      </w:tblGrid>
      <w:tr w14:paraId="3E968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02" w:type="pct"/>
            <w:vAlign w:val="center"/>
          </w:tcPr>
          <w:p w14:paraId="6DC573EE">
            <w:pPr>
              <w:pStyle w:val="16"/>
              <w:rPr>
                <w:sz w:val="20"/>
              </w:rPr>
            </w:pPr>
            <w:r>
              <w:rPr>
                <w:rFonts w:hint="eastAsia"/>
                <w:sz w:val="20"/>
              </w:rPr>
              <w:t>项目类别</w:t>
            </w:r>
          </w:p>
        </w:tc>
        <w:tc>
          <w:tcPr>
            <w:tcW w:w="2996" w:type="pct"/>
            <w:gridSpan w:val="2"/>
            <w:vAlign w:val="center"/>
          </w:tcPr>
          <w:p w14:paraId="1E15F5DE">
            <w:pPr>
              <w:pStyle w:val="16"/>
              <w:rPr>
                <w:sz w:val="20"/>
              </w:rPr>
            </w:pPr>
            <w:r>
              <w:rPr>
                <w:rFonts w:hint="eastAsia"/>
                <w:sz w:val="20"/>
              </w:rPr>
              <w:t>项目名称</w:t>
            </w:r>
          </w:p>
        </w:tc>
        <w:tc>
          <w:tcPr>
            <w:tcW w:w="902" w:type="pct"/>
            <w:vAlign w:val="center"/>
          </w:tcPr>
          <w:p w14:paraId="77281BB7">
            <w:pPr>
              <w:pStyle w:val="16"/>
              <w:rPr>
                <w:sz w:val="20"/>
              </w:rPr>
            </w:pPr>
            <w:r>
              <w:rPr>
                <w:rFonts w:hint="eastAsia"/>
                <w:sz w:val="20"/>
              </w:rPr>
              <w:t>加分分值</w:t>
            </w:r>
          </w:p>
        </w:tc>
      </w:tr>
      <w:tr w14:paraId="1FC2B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02" w:type="pct"/>
            <w:vMerge w:val="restart"/>
            <w:vAlign w:val="center"/>
          </w:tcPr>
          <w:p w14:paraId="0164B68A">
            <w:pPr>
              <w:pStyle w:val="16"/>
              <w:rPr>
                <w:sz w:val="20"/>
              </w:rPr>
            </w:pPr>
            <w:r>
              <w:rPr>
                <w:rFonts w:hint="eastAsia"/>
                <w:sz w:val="20"/>
              </w:rPr>
              <w:t>学术论文类</w:t>
            </w:r>
          </w:p>
        </w:tc>
        <w:tc>
          <w:tcPr>
            <w:tcW w:w="2996" w:type="pct"/>
            <w:gridSpan w:val="2"/>
            <w:vAlign w:val="center"/>
          </w:tcPr>
          <w:p w14:paraId="0259B882">
            <w:pPr>
              <w:pStyle w:val="16"/>
              <w:rPr>
                <w:sz w:val="20"/>
              </w:rPr>
            </w:pPr>
            <w:r>
              <w:rPr>
                <w:rFonts w:hint="eastAsia"/>
                <w:sz w:val="20"/>
              </w:rPr>
              <w:t>在</w:t>
            </w:r>
            <w:r>
              <w:rPr>
                <w:sz w:val="20"/>
              </w:rPr>
              <w:t>A+</w:t>
            </w:r>
            <w:r>
              <w:rPr>
                <w:rFonts w:hint="eastAsia"/>
                <w:sz w:val="20"/>
              </w:rPr>
              <w:t>级学术期刊发表学术论文</w:t>
            </w:r>
          </w:p>
        </w:tc>
        <w:tc>
          <w:tcPr>
            <w:tcW w:w="902" w:type="pct"/>
            <w:vAlign w:val="center"/>
          </w:tcPr>
          <w:p w14:paraId="3A969E8C">
            <w:pPr>
              <w:pStyle w:val="16"/>
              <w:rPr>
                <w:sz w:val="20"/>
              </w:rPr>
            </w:pPr>
            <w:r>
              <w:rPr>
                <w:sz w:val="20"/>
              </w:rPr>
              <w:t>60</w:t>
            </w:r>
          </w:p>
        </w:tc>
      </w:tr>
      <w:tr w14:paraId="7148C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02" w:type="pct"/>
            <w:vMerge w:val="continue"/>
            <w:vAlign w:val="center"/>
          </w:tcPr>
          <w:p w14:paraId="7768A15F">
            <w:pPr>
              <w:pStyle w:val="16"/>
              <w:rPr>
                <w:sz w:val="20"/>
              </w:rPr>
            </w:pPr>
          </w:p>
        </w:tc>
        <w:tc>
          <w:tcPr>
            <w:tcW w:w="2996" w:type="pct"/>
            <w:gridSpan w:val="2"/>
            <w:vAlign w:val="center"/>
          </w:tcPr>
          <w:p w14:paraId="68D25CE4">
            <w:pPr>
              <w:pStyle w:val="16"/>
              <w:rPr>
                <w:sz w:val="20"/>
              </w:rPr>
            </w:pPr>
            <w:r>
              <w:rPr>
                <w:rFonts w:hint="eastAsia"/>
                <w:sz w:val="20"/>
              </w:rPr>
              <w:t>在</w:t>
            </w:r>
            <w:r>
              <w:rPr>
                <w:sz w:val="20"/>
              </w:rPr>
              <w:t>A</w:t>
            </w:r>
            <w:r>
              <w:rPr>
                <w:rFonts w:hint="eastAsia"/>
                <w:sz w:val="20"/>
              </w:rPr>
              <w:t>级学术期刊发表学术论文</w:t>
            </w:r>
          </w:p>
        </w:tc>
        <w:tc>
          <w:tcPr>
            <w:tcW w:w="902" w:type="pct"/>
            <w:vAlign w:val="center"/>
          </w:tcPr>
          <w:p w14:paraId="051B4FF9">
            <w:pPr>
              <w:pStyle w:val="16"/>
              <w:rPr>
                <w:sz w:val="20"/>
              </w:rPr>
            </w:pPr>
            <w:r>
              <w:rPr>
                <w:sz w:val="20"/>
              </w:rPr>
              <w:t>40</w:t>
            </w:r>
          </w:p>
        </w:tc>
      </w:tr>
      <w:tr w14:paraId="4E3A1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02" w:type="pct"/>
            <w:vMerge w:val="continue"/>
            <w:vAlign w:val="center"/>
          </w:tcPr>
          <w:p w14:paraId="6D58759E">
            <w:pPr>
              <w:pStyle w:val="16"/>
              <w:rPr>
                <w:sz w:val="20"/>
              </w:rPr>
            </w:pPr>
          </w:p>
        </w:tc>
        <w:tc>
          <w:tcPr>
            <w:tcW w:w="2996" w:type="pct"/>
            <w:gridSpan w:val="2"/>
            <w:vAlign w:val="center"/>
          </w:tcPr>
          <w:p w14:paraId="24D6CE20">
            <w:pPr>
              <w:pStyle w:val="16"/>
              <w:rPr>
                <w:sz w:val="20"/>
              </w:rPr>
            </w:pPr>
            <w:r>
              <w:rPr>
                <w:rFonts w:hint="eastAsia"/>
                <w:sz w:val="20"/>
              </w:rPr>
              <w:t>在</w:t>
            </w:r>
            <w:r>
              <w:rPr>
                <w:sz w:val="20"/>
              </w:rPr>
              <w:t>B</w:t>
            </w:r>
            <w:r>
              <w:rPr>
                <w:rFonts w:hint="eastAsia"/>
                <w:sz w:val="20"/>
              </w:rPr>
              <w:t>级学术期刊发表学术论文</w:t>
            </w:r>
          </w:p>
        </w:tc>
        <w:tc>
          <w:tcPr>
            <w:tcW w:w="902" w:type="pct"/>
            <w:vAlign w:val="center"/>
          </w:tcPr>
          <w:p w14:paraId="14597AA0">
            <w:pPr>
              <w:pStyle w:val="16"/>
              <w:rPr>
                <w:sz w:val="20"/>
              </w:rPr>
            </w:pPr>
            <w:r>
              <w:rPr>
                <w:sz w:val="20"/>
              </w:rPr>
              <w:t>25</w:t>
            </w:r>
          </w:p>
        </w:tc>
      </w:tr>
      <w:tr w14:paraId="6205B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02" w:type="pct"/>
            <w:vMerge w:val="continue"/>
            <w:vAlign w:val="center"/>
          </w:tcPr>
          <w:p w14:paraId="033027C6">
            <w:pPr>
              <w:pStyle w:val="16"/>
              <w:rPr>
                <w:sz w:val="20"/>
              </w:rPr>
            </w:pPr>
          </w:p>
        </w:tc>
        <w:tc>
          <w:tcPr>
            <w:tcW w:w="2996" w:type="pct"/>
            <w:gridSpan w:val="2"/>
            <w:vAlign w:val="center"/>
          </w:tcPr>
          <w:p w14:paraId="61C2BE85">
            <w:pPr>
              <w:pStyle w:val="16"/>
              <w:rPr>
                <w:sz w:val="20"/>
              </w:rPr>
            </w:pPr>
            <w:r>
              <w:rPr>
                <w:rFonts w:hint="eastAsia"/>
                <w:sz w:val="20"/>
              </w:rPr>
              <w:t>在</w:t>
            </w:r>
            <w:r>
              <w:rPr>
                <w:sz w:val="20"/>
              </w:rPr>
              <w:t>C</w:t>
            </w:r>
            <w:r>
              <w:rPr>
                <w:rFonts w:hint="eastAsia"/>
                <w:sz w:val="20"/>
              </w:rPr>
              <w:t>级学术期刊发表学术论文</w:t>
            </w:r>
          </w:p>
        </w:tc>
        <w:tc>
          <w:tcPr>
            <w:tcW w:w="902" w:type="pct"/>
            <w:vAlign w:val="center"/>
          </w:tcPr>
          <w:p w14:paraId="7C41FD6F">
            <w:pPr>
              <w:pStyle w:val="16"/>
              <w:rPr>
                <w:sz w:val="20"/>
              </w:rPr>
            </w:pPr>
            <w:r>
              <w:rPr>
                <w:sz w:val="20"/>
              </w:rPr>
              <w:t>10</w:t>
            </w:r>
          </w:p>
        </w:tc>
      </w:tr>
      <w:tr w14:paraId="789DE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02" w:type="pct"/>
            <w:vMerge w:val="continue"/>
            <w:vAlign w:val="center"/>
          </w:tcPr>
          <w:p w14:paraId="11214C81">
            <w:pPr>
              <w:pStyle w:val="16"/>
              <w:rPr>
                <w:sz w:val="20"/>
              </w:rPr>
            </w:pPr>
          </w:p>
        </w:tc>
        <w:tc>
          <w:tcPr>
            <w:tcW w:w="2996" w:type="pct"/>
            <w:gridSpan w:val="2"/>
            <w:vAlign w:val="center"/>
          </w:tcPr>
          <w:p w14:paraId="2CF9CE29">
            <w:pPr>
              <w:pStyle w:val="16"/>
              <w:rPr>
                <w:sz w:val="20"/>
              </w:rPr>
            </w:pPr>
            <w:r>
              <w:rPr>
                <w:rFonts w:hint="eastAsia"/>
                <w:sz w:val="20"/>
              </w:rPr>
              <w:t>在《人民日报》《光明日报》理论版公开发表的文章</w:t>
            </w:r>
          </w:p>
        </w:tc>
        <w:tc>
          <w:tcPr>
            <w:tcW w:w="902" w:type="pct"/>
            <w:vAlign w:val="center"/>
          </w:tcPr>
          <w:p w14:paraId="2018A719">
            <w:pPr>
              <w:pStyle w:val="16"/>
              <w:rPr>
                <w:sz w:val="20"/>
              </w:rPr>
            </w:pPr>
            <w:r>
              <w:rPr>
                <w:sz w:val="20"/>
              </w:rPr>
              <w:t>25</w:t>
            </w:r>
          </w:p>
        </w:tc>
      </w:tr>
      <w:tr w14:paraId="25CC0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02" w:type="pct"/>
            <w:vMerge w:val="restart"/>
            <w:vAlign w:val="center"/>
          </w:tcPr>
          <w:p w14:paraId="7D4397B5">
            <w:pPr>
              <w:pStyle w:val="16"/>
              <w:rPr>
                <w:sz w:val="20"/>
              </w:rPr>
            </w:pPr>
            <w:r>
              <w:rPr>
                <w:rFonts w:hint="eastAsia"/>
                <w:sz w:val="20"/>
              </w:rPr>
              <w:t>科研训练项目</w:t>
            </w:r>
          </w:p>
        </w:tc>
        <w:tc>
          <w:tcPr>
            <w:tcW w:w="1971" w:type="pct"/>
            <w:vMerge w:val="restart"/>
            <w:vAlign w:val="center"/>
          </w:tcPr>
          <w:p w14:paraId="12E93650">
            <w:pPr>
              <w:pStyle w:val="16"/>
              <w:rPr>
                <w:sz w:val="20"/>
              </w:rPr>
            </w:pPr>
            <w:r>
              <w:rPr>
                <w:rFonts w:hint="eastAsia"/>
                <w:sz w:val="20"/>
              </w:rPr>
              <w:t>全国大学生创新训练计划项目</w:t>
            </w:r>
          </w:p>
        </w:tc>
        <w:tc>
          <w:tcPr>
            <w:tcW w:w="1025" w:type="pct"/>
            <w:vAlign w:val="center"/>
          </w:tcPr>
          <w:p w14:paraId="2C0EBF03">
            <w:pPr>
              <w:pStyle w:val="16"/>
              <w:rPr>
                <w:sz w:val="20"/>
              </w:rPr>
            </w:pPr>
            <w:r>
              <w:rPr>
                <w:rFonts w:hint="eastAsia"/>
                <w:sz w:val="20"/>
              </w:rPr>
              <w:t>国家级</w:t>
            </w:r>
          </w:p>
        </w:tc>
        <w:tc>
          <w:tcPr>
            <w:tcW w:w="902" w:type="pct"/>
            <w:vAlign w:val="center"/>
          </w:tcPr>
          <w:p w14:paraId="7C410D71">
            <w:pPr>
              <w:pStyle w:val="16"/>
              <w:rPr>
                <w:sz w:val="20"/>
              </w:rPr>
            </w:pPr>
            <w:r>
              <w:rPr>
                <w:sz w:val="20"/>
              </w:rPr>
              <w:t>6</w:t>
            </w:r>
          </w:p>
        </w:tc>
      </w:tr>
      <w:tr w14:paraId="5D040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02" w:type="pct"/>
            <w:vMerge w:val="continue"/>
            <w:vAlign w:val="center"/>
          </w:tcPr>
          <w:p w14:paraId="1C6766ED">
            <w:pPr>
              <w:pStyle w:val="16"/>
              <w:rPr>
                <w:sz w:val="20"/>
              </w:rPr>
            </w:pPr>
          </w:p>
        </w:tc>
        <w:tc>
          <w:tcPr>
            <w:tcW w:w="1971" w:type="pct"/>
            <w:vMerge w:val="continue"/>
            <w:vAlign w:val="center"/>
          </w:tcPr>
          <w:p w14:paraId="2BD7A151">
            <w:pPr>
              <w:pStyle w:val="16"/>
              <w:rPr>
                <w:sz w:val="20"/>
              </w:rPr>
            </w:pPr>
          </w:p>
        </w:tc>
        <w:tc>
          <w:tcPr>
            <w:tcW w:w="1025" w:type="pct"/>
            <w:vAlign w:val="center"/>
          </w:tcPr>
          <w:p w14:paraId="68CD2B01">
            <w:pPr>
              <w:pStyle w:val="16"/>
              <w:rPr>
                <w:sz w:val="20"/>
              </w:rPr>
            </w:pPr>
            <w:r>
              <w:rPr>
                <w:rFonts w:hint="eastAsia"/>
                <w:sz w:val="20"/>
              </w:rPr>
              <w:t>省级</w:t>
            </w:r>
          </w:p>
        </w:tc>
        <w:tc>
          <w:tcPr>
            <w:tcW w:w="902" w:type="pct"/>
            <w:vAlign w:val="center"/>
          </w:tcPr>
          <w:p w14:paraId="2B198590">
            <w:pPr>
              <w:pStyle w:val="16"/>
              <w:rPr>
                <w:sz w:val="20"/>
              </w:rPr>
            </w:pPr>
            <w:r>
              <w:rPr>
                <w:sz w:val="20"/>
              </w:rPr>
              <w:t>4</w:t>
            </w:r>
          </w:p>
        </w:tc>
      </w:tr>
      <w:tr w14:paraId="0B772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02" w:type="pct"/>
            <w:vMerge w:val="continue"/>
            <w:vAlign w:val="center"/>
          </w:tcPr>
          <w:p w14:paraId="13070780">
            <w:pPr>
              <w:pStyle w:val="16"/>
              <w:rPr>
                <w:sz w:val="20"/>
              </w:rPr>
            </w:pPr>
          </w:p>
        </w:tc>
        <w:tc>
          <w:tcPr>
            <w:tcW w:w="1971" w:type="pct"/>
            <w:vMerge w:val="continue"/>
            <w:vAlign w:val="center"/>
          </w:tcPr>
          <w:p w14:paraId="3F275627">
            <w:pPr>
              <w:pStyle w:val="16"/>
              <w:rPr>
                <w:sz w:val="20"/>
              </w:rPr>
            </w:pPr>
          </w:p>
        </w:tc>
        <w:tc>
          <w:tcPr>
            <w:tcW w:w="1025" w:type="pct"/>
            <w:vAlign w:val="center"/>
          </w:tcPr>
          <w:p w14:paraId="5E9C2DC2">
            <w:pPr>
              <w:pStyle w:val="16"/>
              <w:rPr>
                <w:sz w:val="20"/>
              </w:rPr>
            </w:pPr>
            <w:r>
              <w:rPr>
                <w:rFonts w:hint="eastAsia"/>
                <w:sz w:val="20"/>
              </w:rPr>
              <w:t>校级</w:t>
            </w:r>
          </w:p>
        </w:tc>
        <w:tc>
          <w:tcPr>
            <w:tcW w:w="902" w:type="pct"/>
            <w:vAlign w:val="center"/>
          </w:tcPr>
          <w:p w14:paraId="5046D8C7">
            <w:pPr>
              <w:pStyle w:val="16"/>
              <w:rPr>
                <w:sz w:val="20"/>
              </w:rPr>
            </w:pPr>
            <w:r>
              <w:rPr>
                <w:sz w:val="20"/>
              </w:rPr>
              <w:t>2.5</w:t>
            </w:r>
          </w:p>
        </w:tc>
      </w:tr>
    </w:tbl>
    <w:p w14:paraId="0011FCB4">
      <w:pPr>
        <w:spacing w:line="56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注：</w:t>
      </w:r>
    </w:p>
    <w:p w14:paraId="39D844F4">
      <w:pPr>
        <w:adjustRightInd w:val="0"/>
        <w:snapToGrid w:val="0"/>
        <w:spacing w:line="560" w:lineRule="exact"/>
        <w:ind w:firstLine="560" w:firstLineChars="200"/>
        <w:rPr>
          <w:rFonts w:ascii="Times New Roman" w:hAnsi="Times New Roman" w:eastAsia="仿宋_GB2312"/>
          <w:sz w:val="28"/>
        </w:rPr>
      </w:pPr>
      <w:r>
        <w:rPr>
          <w:rFonts w:hint="eastAsia" w:ascii="Times New Roman" w:hAnsi="Times New Roman" w:eastAsia="仿宋_GB2312"/>
          <w:sz w:val="28"/>
        </w:rPr>
        <w:t>①论文原则上只认定以独立作者或第一作者发表于《西南财经大学学术期刊目录》的中英文论文及《人民日报》《光明日报》理论版文章。国际赛事的认定参照全国赛执行，但不得低于全国赛事相关要求。学生与直系亲属或学历、职称、职务明显高于本人者合作的科研成果、竞赛奖项等仅作为参考。</w:t>
      </w:r>
    </w:p>
    <w:p w14:paraId="65FFEC8A">
      <w:pPr>
        <w:adjustRightInd w:val="0"/>
        <w:snapToGrid w:val="0"/>
        <w:spacing w:line="560" w:lineRule="exact"/>
        <w:ind w:firstLine="560" w:firstLineChars="200"/>
        <w:rPr>
          <w:rFonts w:ascii="Times New Roman" w:hAnsi="Times New Roman" w:eastAsia="仿宋_GB2312"/>
          <w:sz w:val="28"/>
        </w:rPr>
      </w:pPr>
      <w:r>
        <w:rPr>
          <w:rFonts w:hint="eastAsia" w:ascii="Times New Roman" w:hAnsi="Times New Roman" w:eastAsia="仿宋_GB2312"/>
          <w:sz w:val="28"/>
        </w:rPr>
        <w:t>②全国大学生创新训练计划项目需要</w:t>
      </w:r>
      <w:r>
        <w:rPr>
          <w:rFonts w:ascii="Times New Roman" w:hAnsi="Times New Roman" w:eastAsia="仿宋_GB2312"/>
          <w:sz w:val="28"/>
        </w:rPr>
        <w:t>通</w:t>
      </w:r>
      <w:r>
        <w:rPr>
          <w:rFonts w:hint="eastAsia" w:ascii="Times New Roman" w:hAnsi="Times New Roman" w:eastAsia="仿宋_GB2312"/>
          <w:sz w:val="28"/>
        </w:rPr>
        <w:t>过结</w:t>
      </w:r>
      <w:r>
        <w:rPr>
          <w:rFonts w:ascii="Times New Roman" w:hAnsi="Times New Roman" w:eastAsia="仿宋_GB2312"/>
          <w:sz w:val="28"/>
        </w:rPr>
        <w:t>项</w:t>
      </w:r>
      <w:r>
        <w:rPr>
          <w:rFonts w:hint="eastAsia" w:ascii="Times New Roman" w:hAnsi="Times New Roman" w:eastAsia="仿宋_GB2312"/>
          <w:sz w:val="28"/>
        </w:rPr>
        <w:t>答辩</w:t>
      </w:r>
      <w:r>
        <w:rPr>
          <w:rFonts w:ascii="Times New Roman" w:hAnsi="Times New Roman" w:eastAsia="仿宋_GB2312"/>
          <w:sz w:val="28"/>
        </w:rPr>
        <w:t>方能认定</w:t>
      </w:r>
      <w:r>
        <w:rPr>
          <w:rFonts w:hint="eastAsia" w:ascii="Times New Roman" w:hAnsi="Times New Roman" w:eastAsia="仿宋_GB2312"/>
          <w:sz w:val="28"/>
        </w:rPr>
        <w:t>。</w:t>
      </w:r>
    </w:p>
    <w:p w14:paraId="7CCF5EBB">
      <w:pPr>
        <w:spacing w:line="560" w:lineRule="exact"/>
        <w:ind w:firstLine="560" w:firstLineChars="200"/>
        <w:rPr>
          <w:rFonts w:ascii="Times New Roman" w:hAnsi="Times New Roman" w:eastAsia="仿宋_GB2312"/>
          <w:sz w:val="28"/>
        </w:rPr>
      </w:pPr>
      <w:r>
        <w:rPr>
          <w:rFonts w:hint="eastAsia" w:ascii="Times New Roman" w:hAnsi="Times New Roman" w:eastAsia="仿宋_GB2312" w:cs="仿宋_GB2312"/>
          <w:sz w:val="28"/>
          <w:szCs w:val="28"/>
        </w:rPr>
        <w:t>③</w:t>
      </w:r>
      <w:r>
        <w:rPr>
          <w:rFonts w:hint="eastAsia" w:ascii="Times New Roman" w:hAnsi="Times New Roman" w:eastAsia="仿宋_GB2312"/>
          <w:sz w:val="28"/>
          <w:szCs w:val="28"/>
        </w:rPr>
        <w:t>科研成果类</w:t>
      </w:r>
      <w:r>
        <w:rPr>
          <w:rFonts w:hint="eastAsia" w:ascii="Times New Roman" w:hAnsi="Times New Roman" w:eastAsia="仿宋_GB2312"/>
          <w:sz w:val="28"/>
        </w:rPr>
        <w:t>设置</w:t>
      </w:r>
      <w:r>
        <w:rPr>
          <w:rFonts w:hint="eastAsia" w:ascii="Times New Roman" w:hAnsi="Times New Roman" w:eastAsia="仿宋_GB2312"/>
          <w:sz w:val="28"/>
          <w:szCs w:val="28"/>
        </w:rPr>
        <w:t>学术论文类和科研训练项目</w:t>
      </w:r>
      <w:r>
        <w:rPr>
          <w:rFonts w:hint="eastAsia" w:ascii="Times New Roman" w:hAnsi="Times New Roman" w:eastAsia="仿宋_GB2312"/>
          <w:sz w:val="28"/>
        </w:rPr>
        <w:t>等两个方面，学生在不同方面获得奖项可以累积加分，在同一方面中有多项加分情况时，只取最高一项。</w:t>
      </w:r>
    </w:p>
    <w:p w14:paraId="402AE71D">
      <w:pPr>
        <w:spacing w:line="560" w:lineRule="exact"/>
        <w:ind w:firstLine="562" w:firstLineChars="200"/>
        <w:rPr>
          <w:rFonts w:ascii="Times New Roman" w:hAnsi="Times New Roman" w:eastAsia="仿宋_GB2312"/>
          <w:b/>
          <w:sz w:val="28"/>
          <w:szCs w:val="28"/>
        </w:rPr>
      </w:pPr>
      <w:r>
        <w:rPr>
          <w:rFonts w:ascii="Times New Roman" w:hAnsi="Times New Roman" w:eastAsia="仿宋_GB2312"/>
          <w:b/>
          <w:sz w:val="28"/>
          <w:szCs w:val="28"/>
        </w:rPr>
        <w:t>2.</w:t>
      </w:r>
      <w:r>
        <w:rPr>
          <w:rFonts w:ascii="Times New Roman" w:hAnsi="Times New Roman" w:eastAsia="仿宋_GB2312"/>
          <w:b/>
          <w:sz w:val="28"/>
        </w:rPr>
        <w:t xml:space="preserve"> </w:t>
      </w:r>
      <w:r>
        <w:rPr>
          <w:rFonts w:hint="eastAsia" w:ascii="Times New Roman" w:hAnsi="Times New Roman" w:eastAsia="仿宋_GB2312"/>
          <w:b/>
          <w:sz w:val="28"/>
          <w:szCs w:val="28"/>
        </w:rPr>
        <w:t>素质能力加分（满分</w:t>
      </w:r>
      <w:r>
        <w:rPr>
          <w:rFonts w:ascii="Times New Roman" w:hAnsi="Times New Roman" w:eastAsia="仿宋_GB2312"/>
          <w:b/>
          <w:sz w:val="28"/>
          <w:szCs w:val="28"/>
        </w:rPr>
        <w:t>40</w:t>
      </w:r>
      <w:r>
        <w:rPr>
          <w:rFonts w:hint="eastAsia" w:ascii="Times New Roman" w:hAnsi="Times New Roman" w:eastAsia="仿宋_GB2312"/>
          <w:b/>
          <w:sz w:val="28"/>
          <w:szCs w:val="28"/>
        </w:rPr>
        <w:t>分）</w:t>
      </w:r>
    </w:p>
    <w:p w14:paraId="552B8FE5">
      <w:pPr>
        <w:spacing w:line="56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校级奖励加分总数不超过满分的</w:t>
      </w:r>
      <w:r>
        <w:rPr>
          <w:rFonts w:ascii="Times New Roman" w:hAnsi="Times New Roman" w:eastAsia="仿宋_GB2312"/>
          <w:sz w:val="28"/>
          <w:szCs w:val="28"/>
        </w:rPr>
        <w:t>15%</w:t>
      </w:r>
      <w:r>
        <w:rPr>
          <w:rFonts w:hint="eastAsia" w:ascii="Times New Roman" w:hAnsi="Times New Roman" w:eastAsia="仿宋_GB2312"/>
          <w:sz w:val="28"/>
          <w:szCs w:val="28"/>
        </w:rPr>
        <w:t>，即素质能力加分中校级奖励加分不超过</w:t>
      </w:r>
      <w:r>
        <w:rPr>
          <w:rFonts w:ascii="Times New Roman" w:hAnsi="Times New Roman" w:eastAsia="仿宋_GB2312"/>
          <w:sz w:val="28"/>
          <w:szCs w:val="28"/>
        </w:rPr>
        <w:t>6</w:t>
      </w:r>
      <w:r>
        <w:rPr>
          <w:rFonts w:hint="eastAsia" w:ascii="Times New Roman" w:hAnsi="Times New Roman" w:eastAsia="仿宋_GB2312"/>
          <w:sz w:val="28"/>
          <w:szCs w:val="28"/>
        </w:rPr>
        <w:t>分。</w:t>
      </w:r>
    </w:p>
    <w:p w14:paraId="108DDAFB">
      <w:pPr>
        <w:spacing w:line="56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w:t>
      </w:r>
      <w:r>
        <w:rPr>
          <w:rFonts w:ascii="Times New Roman" w:hAnsi="Times New Roman" w:eastAsia="仿宋_GB2312"/>
          <w:sz w:val="28"/>
          <w:szCs w:val="28"/>
        </w:rPr>
        <w:t>1</w:t>
      </w:r>
      <w:r>
        <w:rPr>
          <w:rFonts w:hint="eastAsia" w:ascii="Times New Roman" w:hAnsi="Times New Roman" w:eastAsia="仿宋_GB2312"/>
          <w:sz w:val="28"/>
          <w:szCs w:val="28"/>
        </w:rPr>
        <w:t>）体育类</w:t>
      </w:r>
    </w:p>
    <w:p w14:paraId="089D6DB9">
      <w:pPr>
        <w:spacing w:line="56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体育类包含体育竞赛或获奖等方面。</w:t>
      </w:r>
    </w:p>
    <w:p w14:paraId="4CE8110D">
      <w:pPr>
        <w:pStyle w:val="14"/>
        <w:spacing w:before="156" w:after="156"/>
        <w:rPr>
          <w:rFonts w:eastAsia="仿宋_GB2312"/>
          <w:sz w:val="28"/>
          <w:szCs w:val="28"/>
        </w:rPr>
      </w:pPr>
      <w:r>
        <w:rPr>
          <w:rFonts w:hint="eastAsia"/>
        </w:rPr>
        <w:t>表</w:t>
      </w:r>
      <w:r>
        <w:t xml:space="preserve">6 </w:t>
      </w:r>
      <w:r>
        <w:rPr>
          <w:rFonts w:hint="eastAsia"/>
        </w:rPr>
        <w:t>体育类项目</w:t>
      </w:r>
      <w:r>
        <w:t>名称列表</w:t>
      </w:r>
    </w:p>
    <w:tbl>
      <w:tblPr>
        <w:tblStyle w:val="9"/>
        <w:tblpPr w:leftFromText="180" w:rightFromText="180" w:vertAnchor="text" w:tblpXSpec="center" w:tblpY="4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5"/>
        <w:gridCol w:w="6197"/>
      </w:tblGrid>
      <w:tr w14:paraId="47CB3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64" w:type="pct"/>
            <w:vAlign w:val="center"/>
          </w:tcPr>
          <w:p w14:paraId="431BD5E9">
            <w:pPr>
              <w:pStyle w:val="16"/>
              <w:rPr>
                <w:sz w:val="20"/>
              </w:rPr>
            </w:pPr>
            <w:r>
              <w:rPr>
                <w:rFonts w:hint="eastAsia"/>
                <w:sz w:val="20"/>
              </w:rPr>
              <w:t>项目类别</w:t>
            </w:r>
          </w:p>
        </w:tc>
        <w:tc>
          <w:tcPr>
            <w:tcW w:w="3636" w:type="pct"/>
            <w:vAlign w:val="center"/>
          </w:tcPr>
          <w:p w14:paraId="77F774CD">
            <w:pPr>
              <w:pStyle w:val="16"/>
              <w:rPr>
                <w:sz w:val="20"/>
              </w:rPr>
            </w:pPr>
            <w:r>
              <w:rPr>
                <w:rFonts w:hint="eastAsia"/>
                <w:sz w:val="20"/>
              </w:rPr>
              <w:t>项目名称</w:t>
            </w:r>
          </w:p>
        </w:tc>
      </w:tr>
      <w:tr w14:paraId="630D6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64" w:type="pct"/>
            <w:vMerge w:val="restart"/>
            <w:vAlign w:val="center"/>
          </w:tcPr>
          <w:p w14:paraId="629563C6">
            <w:pPr>
              <w:pStyle w:val="16"/>
              <w:rPr>
                <w:sz w:val="20"/>
              </w:rPr>
            </w:pPr>
            <w:r>
              <w:rPr>
                <w:rFonts w:hint="eastAsia"/>
                <w:sz w:val="20"/>
              </w:rPr>
              <w:t>体育竞赛</w:t>
            </w:r>
          </w:p>
        </w:tc>
        <w:tc>
          <w:tcPr>
            <w:tcW w:w="3636" w:type="pct"/>
            <w:vAlign w:val="center"/>
          </w:tcPr>
          <w:p w14:paraId="068DB5C3">
            <w:pPr>
              <w:pStyle w:val="16"/>
              <w:rPr>
                <w:sz w:val="20"/>
              </w:rPr>
            </w:pPr>
            <w:r>
              <w:rPr>
                <w:rFonts w:hint="eastAsia"/>
                <w:sz w:val="20"/>
              </w:rPr>
              <w:t>由教育部，体育总局及全国大学生体协举办的全国性比赛</w:t>
            </w:r>
          </w:p>
        </w:tc>
      </w:tr>
      <w:tr w14:paraId="6E827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64" w:type="pct"/>
            <w:vMerge w:val="continue"/>
            <w:vAlign w:val="center"/>
          </w:tcPr>
          <w:p w14:paraId="7766B85F">
            <w:pPr>
              <w:pStyle w:val="16"/>
              <w:rPr>
                <w:sz w:val="20"/>
              </w:rPr>
            </w:pPr>
          </w:p>
        </w:tc>
        <w:tc>
          <w:tcPr>
            <w:tcW w:w="3636" w:type="pct"/>
            <w:vAlign w:val="center"/>
          </w:tcPr>
          <w:p w14:paraId="0E3FCFEB">
            <w:pPr>
              <w:pStyle w:val="16"/>
              <w:rPr>
                <w:sz w:val="20"/>
              </w:rPr>
            </w:pPr>
            <w:r>
              <w:rPr>
                <w:rFonts w:hint="eastAsia"/>
                <w:sz w:val="20"/>
              </w:rPr>
              <w:t>由省教育厅，体育局及省大学生体协举办省级比赛</w:t>
            </w:r>
          </w:p>
        </w:tc>
      </w:tr>
      <w:tr w14:paraId="580AE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64" w:type="pct"/>
            <w:vMerge w:val="continue"/>
            <w:vAlign w:val="center"/>
          </w:tcPr>
          <w:p w14:paraId="1ACE8959">
            <w:pPr>
              <w:pStyle w:val="16"/>
              <w:rPr>
                <w:sz w:val="20"/>
              </w:rPr>
            </w:pPr>
          </w:p>
        </w:tc>
        <w:tc>
          <w:tcPr>
            <w:tcW w:w="3636" w:type="pct"/>
            <w:vAlign w:val="center"/>
          </w:tcPr>
          <w:p w14:paraId="3D4C2980">
            <w:pPr>
              <w:pStyle w:val="16"/>
              <w:rPr>
                <w:sz w:val="20"/>
              </w:rPr>
            </w:pPr>
            <w:r>
              <w:rPr>
                <w:rFonts w:hint="eastAsia"/>
                <w:sz w:val="20"/>
              </w:rPr>
              <w:t>西南财经大学“光华杯”系列比赛</w:t>
            </w:r>
          </w:p>
        </w:tc>
      </w:tr>
      <w:tr w14:paraId="16C2A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64" w:type="pct"/>
            <w:vAlign w:val="center"/>
          </w:tcPr>
          <w:p w14:paraId="336E4763">
            <w:pPr>
              <w:pStyle w:val="16"/>
              <w:rPr>
                <w:sz w:val="20"/>
              </w:rPr>
            </w:pPr>
            <w:r>
              <w:rPr>
                <w:rFonts w:hint="eastAsia"/>
                <w:sz w:val="20"/>
              </w:rPr>
              <w:t>运动会</w:t>
            </w:r>
          </w:p>
        </w:tc>
        <w:tc>
          <w:tcPr>
            <w:tcW w:w="3636" w:type="pct"/>
            <w:vAlign w:val="center"/>
          </w:tcPr>
          <w:p w14:paraId="7F8A10BD">
            <w:pPr>
              <w:pStyle w:val="16"/>
              <w:rPr>
                <w:sz w:val="20"/>
              </w:rPr>
            </w:pPr>
            <w:r>
              <w:rPr>
                <w:rFonts w:hint="eastAsia"/>
                <w:sz w:val="20"/>
              </w:rPr>
              <w:t>西南财经大学秋季运动会</w:t>
            </w:r>
          </w:p>
        </w:tc>
      </w:tr>
    </w:tbl>
    <w:p w14:paraId="19109CA9">
      <w:pPr>
        <w:spacing w:line="56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注：</w:t>
      </w:r>
    </w:p>
    <w:p w14:paraId="2876C1E2">
      <w:pPr>
        <w:adjustRightInd w:val="0"/>
        <w:snapToGrid w:val="0"/>
        <w:spacing w:line="560" w:lineRule="exact"/>
        <w:ind w:firstLine="560" w:firstLineChars="200"/>
        <w:rPr>
          <w:rFonts w:ascii="Times New Roman" w:hAnsi="Times New Roman" w:eastAsia="仿宋_GB2312" w:cs="宋体"/>
          <w:sz w:val="28"/>
          <w:szCs w:val="28"/>
        </w:rPr>
      </w:pPr>
      <w:r>
        <w:rPr>
          <w:rFonts w:hint="eastAsia" w:ascii="Times New Roman" w:hAnsi="Times New Roman" w:eastAsia="仿宋_GB2312"/>
          <w:sz w:val="28"/>
        </w:rPr>
        <w:t>体育类设置两个方面，学生在不同方面获得奖项可以累积加分，在同一方面中有多项加分情况时，只取最高一项。</w:t>
      </w:r>
    </w:p>
    <w:p w14:paraId="05992E62">
      <w:pPr>
        <w:spacing w:line="56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w:t>
      </w:r>
      <w:r>
        <w:rPr>
          <w:rFonts w:ascii="Times New Roman" w:hAnsi="Times New Roman" w:eastAsia="仿宋_GB2312"/>
          <w:sz w:val="28"/>
          <w:szCs w:val="28"/>
        </w:rPr>
        <w:t>2</w:t>
      </w:r>
      <w:r>
        <w:rPr>
          <w:rFonts w:hint="eastAsia" w:ascii="Times New Roman" w:hAnsi="Times New Roman" w:eastAsia="仿宋_GB2312"/>
          <w:sz w:val="28"/>
          <w:szCs w:val="28"/>
        </w:rPr>
        <w:t>）美育类</w:t>
      </w:r>
    </w:p>
    <w:p w14:paraId="76962D87">
      <w:pPr>
        <w:spacing w:line="56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美育类包含美育竞赛或获奖等方面。</w:t>
      </w:r>
    </w:p>
    <w:p w14:paraId="2B1506AF">
      <w:pPr>
        <w:pStyle w:val="14"/>
        <w:spacing w:before="156" w:after="156"/>
        <w:rPr>
          <w:rFonts w:eastAsia="仿宋_GB2312"/>
          <w:sz w:val="28"/>
          <w:szCs w:val="28"/>
        </w:rPr>
      </w:pPr>
      <w:r>
        <w:rPr>
          <w:rFonts w:hint="eastAsia"/>
        </w:rPr>
        <w:t>表</w:t>
      </w:r>
      <w:r>
        <w:t xml:space="preserve">7 </w:t>
      </w:r>
      <w:r>
        <w:rPr>
          <w:rFonts w:hint="eastAsia"/>
        </w:rPr>
        <w:t>美育类项目</w:t>
      </w:r>
      <w:r>
        <w:t>名称列表</w:t>
      </w:r>
    </w:p>
    <w:tbl>
      <w:tblPr>
        <w:tblStyle w:val="9"/>
        <w:tblpPr w:leftFromText="180" w:rightFromText="180" w:vertAnchor="text" w:tblpXSpec="center" w:tblpY="4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5"/>
        <w:gridCol w:w="6197"/>
      </w:tblGrid>
      <w:tr w14:paraId="7EA16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64" w:type="pct"/>
            <w:vAlign w:val="center"/>
          </w:tcPr>
          <w:p w14:paraId="6A9D75A2">
            <w:pPr>
              <w:pStyle w:val="16"/>
              <w:rPr>
                <w:sz w:val="20"/>
              </w:rPr>
            </w:pPr>
            <w:r>
              <w:rPr>
                <w:rFonts w:hint="eastAsia"/>
                <w:sz w:val="20"/>
              </w:rPr>
              <w:t>项目类别</w:t>
            </w:r>
          </w:p>
        </w:tc>
        <w:tc>
          <w:tcPr>
            <w:tcW w:w="3636" w:type="pct"/>
            <w:vAlign w:val="center"/>
          </w:tcPr>
          <w:p w14:paraId="7B24ABAA">
            <w:pPr>
              <w:pStyle w:val="16"/>
              <w:rPr>
                <w:sz w:val="20"/>
              </w:rPr>
            </w:pPr>
            <w:r>
              <w:rPr>
                <w:rFonts w:hint="eastAsia"/>
                <w:sz w:val="20"/>
              </w:rPr>
              <w:t>项目名称</w:t>
            </w:r>
          </w:p>
        </w:tc>
      </w:tr>
      <w:tr w14:paraId="02196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64" w:type="pct"/>
            <w:vMerge w:val="restart"/>
            <w:vAlign w:val="center"/>
          </w:tcPr>
          <w:p w14:paraId="5A535ACE">
            <w:pPr>
              <w:pStyle w:val="16"/>
              <w:rPr>
                <w:sz w:val="20"/>
              </w:rPr>
            </w:pPr>
            <w:r>
              <w:rPr>
                <w:rFonts w:hint="eastAsia"/>
                <w:sz w:val="20"/>
              </w:rPr>
              <w:t>美育类</w:t>
            </w:r>
          </w:p>
        </w:tc>
        <w:tc>
          <w:tcPr>
            <w:tcW w:w="3636" w:type="pct"/>
            <w:vAlign w:val="center"/>
          </w:tcPr>
          <w:p w14:paraId="5BB60127">
            <w:pPr>
              <w:pStyle w:val="16"/>
              <w:rPr>
                <w:sz w:val="20"/>
              </w:rPr>
            </w:pPr>
            <w:r>
              <w:rPr>
                <w:rFonts w:hint="eastAsia"/>
                <w:sz w:val="20"/>
              </w:rPr>
              <w:t>全国大学生艺术展演</w:t>
            </w:r>
          </w:p>
        </w:tc>
      </w:tr>
      <w:tr w14:paraId="0D596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64" w:type="pct"/>
            <w:vMerge w:val="continue"/>
            <w:vAlign w:val="center"/>
          </w:tcPr>
          <w:p w14:paraId="14E909E8">
            <w:pPr>
              <w:pStyle w:val="16"/>
              <w:rPr>
                <w:sz w:val="20"/>
              </w:rPr>
            </w:pPr>
          </w:p>
        </w:tc>
        <w:tc>
          <w:tcPr>
            <w:tcW w:w="3636" w:type="pct"/>
            <w:vAlign w:val="center"/>
          </w:tcPr>
          <w:p w14:paraId="77168F36">
            <w:pPr>
              <w:pStyle w:val="16"/>
              <w:rPr>
                <w:sz w:val="20"/>
              </w:rPr>
            </w:pPr>
            <w:r>
              <w:rPr>
                <w:rFonts w:hint="eastAsia"/>
                <w:sz w:val="20"/>
              </w:rPr>
              <w:t>教育部、文化部举办的全国性艺术比赛</w:t>
            </w:r>
          </w:p>
        </w:tc>
      </w:tr>
      <w:tr w14:paraId="75B58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64" w:type="pct"/>
            <w:vMerge w:val="continue"/>
            <w:vAlign w:val="center"/>
          </w:tcPr>
          <w:p w14:paraId="0213499A">
            <w:pPr>
              <w:pStyle w:val="16"/>
              <w:rPr>
                <w:sz w:val="20"/>
              </w:rPr>
            </w:pPr>
          </w:p>
        </w:tc>
        <w:tc>
          <w:tcPr>
            <w:tcW w:w="3636" w:type="pct"/>
            <w:vAlign w:val="center"/>
          </w:tcPr>
          <w:p w14:paraId="157BA847">
            <w:pPr>
              <w:pStyle w:val="16"/>
              <w:rPr>
                <w:sz w:val="20"/>
              </w:rPr>
            </w:pPr>
            <w:r>
              <w:rPr>
                <w:rFonts w:hint="eastAsia"/>
                <w:sz w:val="20"/>
              </w:rPr>
              <w:t>大学生艺术节</w:t>
            </w:r>
          </w:p>
        </w:tc>
      </w:tr>
      <w:tr w14:paraId="53C52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64" w:type="pct"/>
            <w:vMerge w:val="continue"/>
            <w:vAlign w:val="center"/>
          </w:tcPr>
          <w:p w14:paraId="62D6DED8">
            <w:pPr>
              <w:pStyle w:val="16"/>
              <w:rPr>
                <w:sz w:val="20"/>
              </w:rPr>
            </w:pPr>
          </w:p>
        </w:tc>
        <w:tc>
          <w:tcPr>
            <w:tcW w:w="3636" w:type="pct"/>
            <w:vAlign w:val="center"/>
          </w:tcPr>
          <w:p w14:paraId="7D9D5FEE">
            <w:pPr>
              <w:pStyle w:val="16"/>
              <w:rPr>
                <w:sz w:val="20"/>
              </w:rPr>
            </w:pPr>
            <w:r>
              <w:rPr>
                <w:rFonts w:hint="eastAsia"/>
                <w:sz w:val="20"/>
              </w:rPr>
              <w:t>五月校园艺术节</w:t>
            </w:r>
          </w:p>
        </w:tc>
      </w:tr>
    </w:tbl>
    <w:p w14:paraId="71DCC499">
      <w:pPr>
        <w:spacing w:line="56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注：</w:t>
      </w:r>
    </w:p>
    <w:p w14:paraId="524E3019">
      <w:pPr>
        <w:spacing w:line="560" w:lineRule="exact"/>
        <w:ind w:firstLine="560" w:firstLineChars="200"/>
        <w:rPr>
          <w:rFonts w:ascii="Times New Roman" w:hAnsi="Times New Roman" w:eastAsia="仿宋_GB2312"/>
          <w:sz w:val="28"/>
        </w:rPr>
      </w:pPr>
      <w:r>
        <w:rPr>
          <w:rFonts w:hint="eastAsia" w:ascii="Times New Roman" w:hAnsi="Times New Roman" w:eastAsia="仿宋_GB2312"/>
          <w:sz w:val="28"/>
        </w:rPr>
        <w:t>美育类设置一个方面，在同一方面中有多项加分情况时，只取最高一项。</w:t>
      </w:r>
    </w:p>
    <w:p w14:paraId="1548853E">
      <w:pPr>
        <w:spacing w:line="56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w:t>
      </w:r>
      <w:r>
        <w:rPr>
          <w:rFonts w:ascii="Times New Roman" w:hAnsi="Times New Roman" w:eastAsia="仿宋_GB2312"/>
          <w:sz w:val="28"/>
          <w:szCs w:val="28"/>
        </w:rPr>
        <w:t>3</w:t>
      </w:r>
      <w:r>
        <w:rPr>
          <w:rFonts w:hint="eastAsia" w:ascii="Times New Roman" w:hAnsi="Times New Roman" w:eastAsia="仿宋_GB2312"/>
          <w:sz w:val="28"/>
          <w:szCs w:val="28"/>
        </w:rPr>
        <w:t>）劳动教育类</w:t>
      </w:r>
    </w:p>
    <w:p w14:paraId="77233892">
      <w:pPr>
        <w:spacing w:line="56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劳动教育类包含劳动教育竞赛或获奖等方面。</w:t>
      </w:r>
    </w:p>
    <w:p w14:paraId="6B2D3F41">
      <w:pPr>
        <w:pStyle w:val="14"/>
        <w:spacing w:before="156" w:after="156"/>
        <w:rPr>
          <w:rFonts w:eastAsia="仿宋_GB2312"/>
          <w:sz w:val="28"/>
          <w:szCs w:val="28"/>
        </w:rPr>
      </w:pPr>
      <w:r>
        <w:rPr>
          <w:rFonts w:hint="eastAsia"/>
        </w:rPr>
        <w:t>表</w:t>
      </w:r>
      <w:r>
        <w:t xml:space="preserve">8 </w:t>
      </w:r>
      <w:r>
        <w:rPr>
          <w:rFonts w:hint="eastAsia"/>
        </w:rPr>
        <w:t>劳动教育类项目</w:t>
      </w:r>
      <w:r>
        <w:t>名称列表</w:t>
      </w:r>
    </w:p>
    <w:tbl>
      <w:tblPr>
        <w:tblStyle w:val="9"/>
        <w:tblpPr w:leftFromText="180" w:rightFromText="180" w:vertAnchor="text" w:tblpXSpec="center" w:tblpY="42"/>
        <w:tblW w:w="503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2"/>
        <w:gridCol w:w="6243"/>
      </w:tblGrid>
      <w:tr w14:paraId="73F9C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64" w:type="pct"/>
            <w:vAlign w:val="center"/>
          </w:tcPr>
          <w:p w14:paraId="33A32540">
            <w:pPr>
              <w:pStyle w:val="16"/>
              <w:rPr>
                <w:sz w:val="20"/>
              </w:rPr>
            </w:pPr>
            <w:r>
              <w:rPr>
                <w:rFonts w:hint="eastAsia"/>
                <w:sz w:val="20"/>
              </w:rPr>
              <w:t>项目类别</w:t>
            </w:r>
          </w:p>
        </w:tc>
        <w:tc>
          <w:tcPr>
            <w:tcW w:w="3636" w:type="pct"/>
            <w:vAlign w:val="center"/>
          </w:tcPr>
          <w:p w14:paraId="4C7147EF">
            <w:pPr>
              <w:pStyle w:val="16"/>
              <w:rPr>
                <w:sz w:val="20"/>
              </w:rPr>
            </w:pPr>
            <w:r>
              <w:rPr>
                <w:rFonts w:hint="eastAsia"/>
                <w:sz w:val="20"/>
              </w:rPr>
              <w:t>项目名称</w:t>
            </w:r>
          </w:p>
        </w:tc>
      </w:tr>
      <w:tr w14:paraId="4CDC7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64" w:type="pct"/>
            <w:vAlign w:val="center"/>
          </w:tcPr>
          <w:p w14:paraId="6ECF6464">
            <w:pPr>
              <w:pStyle w:val="16"/>
              <w:rPr>
                <w:sz w:val="20"/>
              </w:rPr>
            </w:pPr>
            <w:r>
              <w:rPr>
                <w:rFonts w:hint="eastAsia"/>
                <w:sz w:val="20"/>
              </w:rPr>
              <w:t>劳动教育类</w:t>
            </w:r>
          </w:p>
        </w:tc>
        <w:tc>
          <w:tcPr>
            <w:tcW w:w="3636" w:type="pct"/>
            <w:vAlign w:val="center"/>
          </w:tcPr>
          <w:p w14:paraId="4273B160">
            <w:pPr>
              <w:pStyle w:val="16"/>
              <w:rPr>
                <w:sz w:val="20"/>
              </w:rPr>
            </w:pPr>
            <w:r>
              <w:rPr>
                <w:rFonts w:hint="eastAsia"/>
                <w:sz w:val="20"/>
              </w:rPr>
              <w:t>获得劳动技能方面奖励及竞赛</w:t>
            </w:r>
          </w:p>
        </w:tc>
      </w:tr>
    </w:tbl>
    <w:p w14:paraId="4A06C956">
      <w:pPr>
        <w:spacing w:line="56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注：</w:t>
      </w:r>
    </w:p>
    <w:p w14:paraId="1894C6E6">
      <w:pPr>
        <w:spacing w:line="56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①奖励级别须经学院工作小组认定。</w:t>
      </w:r>
    </w:p>
    <w:p w14:paraId="078D6996">
      <w:pPr>
        <w:adjustRightInd w:val="0"/>
        <w:snapToGrid w:val="0"/>
        <w:spacing w:line="560" w:lineRule="exact"/>
        <w:ind w:firstLine="560" w:firstLineChars="200"/>
        <w:rPr>
          <w:rFonts w:ascii="Times New Roman" w:hAnsi="Times New Roman" w:eastAsia="仿宋_GB2312" w:cs="宋体"/>
          <w:sz w:val="28"/>
          <w:szCs w:val="28"/>
        </w:rPr>
      </w:pPr>
      <w:r>
        <w:rPr>
          <w:rFonts w:hint="eastAsia" w:ascii="Times New Roman" w:hAnsi="Times New Roman" w:eastAsia="仿宋_GB2312"/>
          <w:sz w:val="28"/>
        </w:rPr>
        <w:t>②劳动教育类设置一个方面，学生在同一方面中有多项加分情况时，只取最高一项。</w:t>
      </w:r>
    </w:p>
    <w:p w14:paraId="2B01326A">
      <w:pPr>
        <w:spacing w:line="56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w:t>
      </w:r>
      <w:r>
        <w:rPr>
          <w:rFonts w:ascii="Times New Roman" w:hAnsi="Times New Roman" w:eastAsia="仿宋_GB2312"/>
          <w:sz w:val="28"/>
          <w:szCs w:val="28"/>
        </w:rPr>
        <w:t>4</w:t>
      </w:r>
      <w:r>
        <w:rPr>
          <w:rFonts w:hint="eastAsia" w:ascii="Times New Roman" w:hAnsi="Times New Roman" w:eastAsia="仿宋_GB2312"/>
          <w:sz w:val="28"/>
          <w:szCs w:val="28"/>
        </w:rPr>
        <w:t>）社会实践类</w:t>
      </w:r>
    </w:p>
    <w:p w14:paraId="5AA3B734">
      <w:pPr>
        <w:spacing w:line="56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社会实践类包含社会实践项目、国际组织实习与实践、精神文明建设、和谐社会创建、志愿者服务等方面。</w:t>
      </w:r>
    </w:p>
    <w:p w14:paraId="69010DC4">
      <w:pPr>
        <w:pStyle w:val="14"/>
        <w:spacing w:before="156" w:after="156"/>
        <w:rPr>
          <w:rFonts w:eastAsia="仿宋_GB2312"/>
          <w:sz w:val="28"/>
          <w:szCs w:val="28"/>
        </w:rPr>
      </w:pPr>
      <w:r>
        <w:rPr>
          <w:rFonts w:hint="eastAsia"/>
        </w:rPr>
        <w:t>表</w:t>
      </w:r>
      <w:r>
        <w:t xml:space="preserve">9 </w:t>
      </w:r>
      <w:r>
        <w:rPr>
          <w:rFonts w:hint="eastAsia"/>
        </w:rPr>
        <w:t>社会实践类项目</w:t>
      </w:r>
      <w:r>
        <w:t>名称列表</w:t>
      </w:r>
    </w:p>
    <w:tbl>
      <w:tblPr>
        <w:tblStyle w:val="9"/>
        <w:tblpPr w:leftFromText="180" w:rightFromText="180" w:vertAnchor="text" w:tblpXSpec="center" w:tblpY="4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7"/>
        <w:gridCol w:w="2040"/>
        <w:gridCol w:w="4595"/>
      </w:tblGrid>
      <w:tr w14:paraId="7AF73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07" w:type="pct"/>
            <w:vAlign w:val="center"/>
          </w:tcPr>
          <w:p w14:paraId="076113B3">
            <w:pPr>
              <w:pStyle w:val="16"/>
              <w:rPr>
                <w:sz w:val="20"/>
              </w:rPr>
            </w:pPr>
            <w:r>
              <w:rPr>
                <w:rFonts w:hint="eastAsia"/>
                <w:sz w:val="20"/>
              </w:rPr>
              <w:t>项目类别</w:t>
            </w:r>
          </w:p>
        </w:tc>
        <w:tc>
          <w:tcPr>
            <w:tcW w:w="3893" w:type="pct"/>
            <w:gridSpan w:val="2"/>
            <w:vAlign w:val="center"/>
          </w:tcPr>
          <w:p w14:paraId="7DB306AD">
            <w:pPr>
              <w:pStyle w:val="16"/>
              <w:rPr>
                <w:sz w:val="20"/>
              </w:rPr>
            </w:pPr>
            <w:r>
              <w:rPr>
                <w:rFonts w:hint="eastAsia"/>
                <w:sz w:val="20"/>
              </w:rPr>
              <w:t>项目名称</w:t>
            </w:r>
          </w:p>
        </w:tc>
      </w:tr>
      <w:tr w14:paraId="4D6F3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07" w:type="pct"/>
            <w:vMerge w:val="restart"/>
            <w:vAlign w:val="center"/>
          </w:tcPr>
          <w:p w14:paraId="18B91AF5">
            <w:pPr>
              <w:pStyle w:val="16"/>
              <w:rPr>
                <w:sz w:val="20"/>
              </w:rPr>
            </w:pPr>
            <w:r>
              <w:rPr>
                <w:rFonts w:hint="eastAsia"/>
                <w:sz w:val="20"/>
              </w:rPr>
              <w:t>社会实践项目</w:t>
            </w:r>
          </w:p>
        </w:tc>
        <w:tc>
          <w:tcPr>
            <w:tcW w:w="3893" w:type="pct"/>
            <w:gridSpan w:val="2"/>
            <w:vAlign w:val="center"/>
          </w:tcPr>
          <w:p w14:paraId="732A284C">
            <w:pPr>
              <w:pStyle w:val="16"/>
              <w:rPr>
                <w:sz w:val="20"/>
              </w:rPr>
            </w:pPr>
            <w:r>
              <w:rPr>
                <w:rFonts w:hint="eastAsia"/>
                <w:sz w:val="20"/>
              </w:rPr>
              <w:t>社会实践先进个人</w:t>
            </w:r>
          </w:p>
        </w:tc>
      </w:tr>
      <w:tr w14:paraId="5E9F7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07" w:type="pct"/>
            <w:vMerge w:val="continue"/>
            <w:vAlign w:val="center"/>
          </w:tcPr>
          <w:p w14:paraId="37A49047">
            <w:pPr>
              <w:pStyle w:val="16"/>
              <w:rPr>
                <w:sz w:val="20"/>
              </w:rPr>
            </w:pPr>
          </w:p>
        </w:tc>
        <w:tc>
          <w:tcPr>
            <w:tcW w:w="3893" w:type="pct"/>
            <w:gridSpan w:val="2"/>
            <w:vAlign w:val="center"/>
          </w:tcPr>
          <w:p w14:paraId="300FB61E">
            <w:pPr>
              <w:pStyle w:val="16"/>
              <w:rPr>
                <w:sz w:val="20"/>
              </w:rPr>
            </w:pPr>
            <w:r>
              <w:rPr>
                <w:rFonts w:hint="eastAsia"/>
                <w:sz w:val="20"/>
              </w:rPr>
              <w:t>社会实践活动（暑期三下乡、西财暖冬）</w:t>
            </w:r>
          </w:p>
        </w:tc>
      </w:tr>
      <w:tr w14:paraId="006C2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07" w:type="pct"/>
            <w:vMerge w:val="restart"/>
            <w:vAlign w:val="center"/>
          </w:tcPr>
          <w:p w14:paraId="71B4F062">
            <w:pPr>
              <w:pStyle w:val="16"/>
              <w:rPr>
                <w:sz w:val="20"/>
              </w:rPr>
            </w:pPr>
            <w:r>
              <w:rPr>
                <w:rFonts w:hint="eastAsia"/>
                <w:sz w:val="20"/>
              </w:rPr>
              <w:t>国际组织实习与实践</w:t>
            </w:r>
          </w:p>
        </w:tc>
        <w:tc>
          <w:tcPr>
            <w:tcW w:w="3893" w:type="pct"/>
            <w:gridSpan w:val="2"/>
            <w:vAlign w:val="center"/>
          </w:tcPr>
          <w:p w14:paraId="242991E5">
            <w:pPr>
              <w:pStyle w:val="16"/>
              <w:rPr>
                <w:sz w:val="20"/>
                <w:highlight w:val="yellow"/>
              </w:rPr>
            </w:pPr>
            <w:r>
              <w:rPr>
                <w:rFonts w:hint="eastAsia"/>
                <w:sz w:val="20"/>
              </w:rPr>
              <w:t>参加教育部所列的国际组织连续实习三个月（含）以上的，加15分</w:t>
            </w:r>
          </w:p>
        </w:tc>
      </w:tr>
      <w:tr w14:paraId="55E63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07" w:type="pct"/>
            <w:vMerge w:val="continue"/>
            <w:vAlign w:val="center"/>
          </w:tcPr>
          <w:p w14:paraId="0DC02730">
            <w:pPr>
              <w:pStyle w:val="16"/>
              <w:rPr>
                <w:sz w:val="20"/>
              </w:rPr>
            </w:pPr>
          </w:p>
        </w:tc>
        <w:tc>
          <w:tcPr>
            <w:tcW w:w="3893" w:type="pct"/>
            <w:gridSpan w:val="2"/>
            <w:vAlign w:val="center"/>
          </w:tcPr>
          <w:p w14:paraId="4341BC42">
            <w:pPr>
              <w:pStyle w:val="16"/>
              <w:rPr>
                <w:sz w:val="20"/>
              </w:rPr>
            </w:pPr>
            <w:r>
              <w:rPr>
                <w:rFonts w:hint="eastAsia"/>
                <w:sz w:val="20"/>
              </w:rPr>
              <w:t>参加我国人力资源和社会保障部或教育部所列的国际组织主办或承办的国际性会议志愿者活动，加10分</w:t>
            </w:r>
          </w:p>
        </w:tc>
      </w:tr>
      <w:tr w14:paraId="201E8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07" w:type="pct"/>
            <w:vMerge w:val="continue"/>
            <w:vAlign w:val="center"/>
          </w:tcPr>
          <w:p w14:paraId="4F125DB1">
            <w:pPr>
              <w:pStyle w:val="16"/>
              <w:rPr>
                <w:sz w:val="20"/>
              </w:rPr>
            </w:pPr>
          </w:p>
        </w:tc>
        <w:tc>
          <w:tcPr>
            <w:tcW w:w="3893" w:type="pct"/>
            <w:gridSpan w:val="2"/>
            <w:vAlign w:val="center"/>
          </w:tcPr>
          <w:p w14:paraId="75A22935">
            <w:pPr>
              <w:pStyle w:val="16"/>
              <w:rPr>
                <w:sz w:val="20"/>
              </w:rPr>
            </w:pPr>
            <w:r>
              <w:rPr>
                <w:rFonts w:hint="eastAsia"/>
                <w:sz w:val="20"/>
              </w:rPr>
              <w:t>参加人力资源和社会保障部或教育部等主办的以国际组织为主题的会议和培训三天及以上的，加10分</w:t>
            </w:r>
          </w:p>
        </w:tc>
      </w:tr>
      <w:tr w14:paraId="6CC8F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07" w:type="pct"/>
            <w:vMerge w:val="restart"/>
            <w:vAlign w:val="center"/>
          </w:tcPr>
          <w:p w14:paraId="305DC7D2">
            <w:pPr>
              <w:pStyle w:val="16"/>
              <w:rPr>
                <w:sz w:val="20"/>
              </w:rPr>
            </w:pPr>
            <w:r>
              <w:rPr>
                <w:rFonts w:hint="eastAsia"/>
                <w:sz w:val="20"/>
              </w:rPr>
              <w:t>精神文明及和谐社会创建活动</w:t>
            </w:r>
          </w:p>
        </w:tc>
        <w:tc>
          <w:tcPr>
            <w:tcW w:w="1197" w:type="pct"/>
            <w:vAlign w:val="center"/>
          </w:tcPr>
          <w:p w14:paraId="0568C40E">
            <w:pPr>
              <w:pStyle w:val="16"/>
              <w:rPr>
                <w:sz w:val="20"/>
              </w:rPr>
            </w:pPr>
            <w:r>
              <w:rPr>
                <w:rFonts w:hint="eastAsia"/>
                <w:sz w:val="20"/>
              </w:rPr>
              <w:t>见义勇为</w:t>
            </w:r>
          </w:p>
        </w:tc>
        <w:tc>
          <w:tcPr>
            <w:tcW w:w="2696" w:type="pct"/>
            <w:vMerge w:val="restart"/>
            <w:vAlign w:val="center"/>
          </w:tcPr>
          <w:p w14:paraId="359C7E83">
            <w:pPr>
              <w:pStyle w:val="16"/>
              <w:rPr>
                <w:sz w:val="20"/>
              </w:rPr>
            </w:pPr>
            <w:r>
              <w:rPr>
                <w:rFonts w:hint="eastAsia"/>
                <w:sz w:val="20"/>
              </w:rPr>
              <w:t>在精神文明及和谐社会创建活动中作出贡献，被有关媒体报道并有党、政、团相关组织作出书面表扬的</w:t>
            </w:r>
          </w:p>
        </w:tc>
      </w:tr>
      <w:tr w14:paraId="48759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07" w:type="pct"/>
            <w:vMerge w:val="continue"/>
            <w:vAlign w:val="center"/>
          </w:tcPr>
          <w:p w14:paraId="085A47AF">
            <w:pPr>
              <w:pStyle w:val="16"/>
              <w:rPr>
                <w:sz w:val="20"/>
              </w:rPr>
            </w:pPr>
          </w:p>
        </w:tc>
        <w:tc>
          <w:tcPr>
            <w:tcW w:w="1197" w:type="pct"/>
            <w:vAlign w:val="center"/>
          </w:tcPr>
          <w:p w14:paraId="5329CD73">
            <w:pPr>
              <w:pStyle w:val="16"/>
              <w:rPr>
                <w:sz w:val="20"/>
              </w:rPr>
            </w:pPr>
            <w:r>
              <w:rPr>
                <w:rFonts w:hint="eastAsia"/>
                <w:sz w:val="20"/>
              </w:rPr>
              <w:t>救灾抢险</w:t>
            </w:r>
          </w:p>
        </w:tc>
        <w:tc>
          <w:tcPr>
            <w:tcW w:w="2696" w:type="pct"/>
            <w:vMerge w:val="continue"/>
            <w:vAlign w:val="center"/>
          </w:tcPr>
          <w:p w14:paraId="759133B7">
            <w:pPr>
              <w:pStyle w:val="16"/>
              <w:rPr>
                <w:sz w:val="20"/>
              </w:rPr>
            </w:pPr>
          </w:p>
        </w:tc>
      </w:tr>
      <w:tr w14:paraId="67634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07" w:type="pct"/>
            <w:vMerge w:val="continue"/>
            <w:vAlign w:val="center"/>
          </w:tcPr>
          <w:p w14:paraId="1B72DB6E">
            <w:pPr>
              <w:pStyle w:val="16"/>
              <w:rPr>
                <w:sz w:val="20"/>
              </w:rPr>
            </w:pPr>
          </w:p>
        </w:tc>
        <w:tc>
          <w:tcPr>
            <w:tcW w:w="1197" w:type="pct"/>
            <w:vAlign w:val="center"/>
          </w:tcPr>
          <w:p w14:paraId="0F8D8B5B">
            <w:pPr>
              <w:pStyle w:val="16"/>
              <w:rPr>
                <w:sz w:val="20"/>
              </w:rPr>
            </w:pPr>
            <w:r>
              <w:rPr>
                <w:rFonts w:hint="eastAsia"/>
                <w:sz w:val="20"/>
              </w:rPr>
              <w:t>志愿服务</w:t>
            </w:r>
          </w:p>
        </w:tc>
        <w:tc>
          <w:tcPr>
            <w:tcW w:w="2696" w:type="pct"/>
            <w:vMerge w:val="continue"/>
            <w:vAlign w:val="center"/>
          </w:tcPr>
          <w:p w14:paraId="054EE1A4">
            <w:pPr>
              <w:pStyle w:val="16"/>
              <w:rPr>
                <w:sz w:val="20"/>
              </w:rPr>
            </w:pPr>
          </w:p>
        </w:tc>
      </w:tr>
      <w:tr w14:paraId="668FD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07" w:type="pct"/>
            <w:vMerge w:val="continue"/>
            <w:vAlign w:val="center"/>
          </w:tcPr>
          <w:p w14:paraId="4371E6E9">
            <w:pPr>
              <w:pStyle w:val="16"/>
              <w:rPr>
                <w:sz w:val="20"/>
              </w:rPr>
            </w:pPr>
          </w:p>
        </w:tc>
        <w:tc>
          <w:tcPr>
            <w:tcW w:w="1197" w:type="pct"/>
            <w:vAlign w:val="center"/>
          </w:tcPr>
          <w:p w14:paraId="1AAEBDB8">
            <w:pPr>
              <w:pStyle w:val="16"/>
              <w:rPr>
                <w:sz w:val="20"/>
              </w:rPr>
            </w:pPr>
            <w:r>
              <w:rPr>
                <w:rFonts w:hint="eastAsia"/>
                <w:sz w:val="20"/>
              </w:rPr>
              <w:t>支教扶贫</w:t>
            </w:r>
          </w:p>
        </w:tc>
        <w:tc>
          <w:tcPr>
            <w:tcW w:w="2696" w:type="pct"/>
            <w:vMerge w:val="continue"/>
            <w:vAlign w:val="center"/>
          </w:tcPr>
          <w:p w14:paraId="61D0BC19">
            <w:pPr>
              <w:pStyle w:val="16"/>
              <w:rPr>
                <w:sz w:val="20"/>
              </w:rPr>
            </w:pPr>
          </w:p>
        </w:tc>
      </w:tr>
    </w:tbl>
    <w:p w14:paraId="5F01C0B1">
      <w:pPr>
        <w:spacing w:line="56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注：</w:t>
      </w:r>
    </w:p>
    <w:p w14:paraId="681916EC">
      <w:pPr>
        <w:spacing w:line="56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①奖励级别须经学院工作小组认定。</w:t>
      </w:r>
    </w:p>
    <w:p w14:paraId="5B751722">
      <w:pPr>
        <w:spacing w:line="56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相关媒体为党政主流媒体如：中央、省级电视台；《人民日报》《光明日报》《解放军报》《中国教育报》《中国青年报》，省级党政报或党、政、团工作专报；党、政、团相关组织为：党、政组织指省级及以上，团组织指省级及以上。</w:t>
      </w:r>
    </w:p>
    <w:p w14:paraId="0ECE633B">
      <w:pPr>
        <w:adjustRightInd w:val="0"/>
        <w:snapToGrid w:val="0"/>
        <w:spacing w:line="560" w:lineRule="exact"/>
        <w:ind w:firstLine="560" w:firstLineChars="200"/>
        <w:rPr>
          <w:rFonts w:ascii="Times New Roman" w:hAnsi="Times New Roman" w:eastAsia="仿宋_GB2312"/>
          <w:sz w:val="28"/>
        </w:rPr>
      </w:pPr>
      <w:r>
        <w:rPr>
          <w:rFonts w:hint="eastAsia" w:ascii="Times New Roman" w:hAnsi="Times New Roman" w:eastAsia="仿宋_GB2312"/>
          <w:sz w:val="28"/>
        </w:rPr>
        <w:t>②社会实践先进个人加分</w:t>
      </w:r>
      <w:r>
        <w:rPr>
          <w:rFonts w:ascii="Times New Roman" w:hAnsi="Times New Roman" w:eastAsia="仿宋_GB2312"/>
          <w:sz w:val="28"/>
        </w:rPr>
        <w:t>标准参照</w:t>
      </w:r>
      <w:r>
        <w:rPr>
          <w:rFonts w:hint="eastAsia" w:ascii="Times New Roman" w:hAnsi="Times New Roman" w:eastAsia="仿宋_GB2312"/>
          <w:sz w:val="28"/>
        </w:rPr>
        <w:t>“表1</w:t>
      </w:r>
      <w:r>
        <w:rPr>
          <w:rFonts w:ascii="Times New Roman" w:hAnsi="Times New Roman" w:eastAsia="仿宋_GB2312"/>
          <w:sz w:val="28"/>
        </w:rPr>
        <w:t>1</w:t>
      </w:r>
      <w:r>
        <w:rPr>
          <w:rFonts w:hint="eastAsia" w:ascii="Times New Roman" w:hAnsi="Times New Roman" w:eastAsia="仿宋_GB2312"/>
          <w:sz w:val="28"/>
        </w:rPr>
        <w:t xml:space="preserve"> 荣誉类加分标准”执行。</w:t>
      </w:r>
    </w:p>
    <w:p w14:paraId="18097E99">
      <w:pPr>
        <w:adjustRightInd w:val="0"/>
        <w:snapToGrid w:val="0"/>
        <w:spacing w:line="560" w:lineRule="exact"/>
        <w:ind w:firstLine="560" w:firstLineChars="200"/>
        <w:rPr>
          <w:rFonts w:ascii="Times New Roman" w:hAnsi="Times New Roman" w:eastAsia="仿宋_GB2312"/>
          <w:sz w:val="28"/>
        </w:rPr>
      </w:pPr>
      <w:r>
        <w:rPr>
          <w:rFonts w:hint="eastAsia" w:ascii="Times New Roman" w:hAnsi="Times New Roman" w:eastAsia="仿宋_GB2312" w:cs="仿宋_GB2312"/>
          <w:sz w:val="28"/>
          <w:szCs w:val="28"/>
        </w:rPr>
        <w:t>③</w:t>
      </w:r>
      <w:r>
        <w:rPr>
          <w:rFonts w:hint="eastAsia" w:ascii="Times New Roman" w:hAnsi="Times New Roman" w:eastAsia="仿宋_GB2312"/>
          <w:sz w:val="28"/>
        </w:rPr>
        <w:t>本条所列国际组织实习与拔尖项目国际组织实习不作重复加分。教育部国际组织清单详见网址：https://gj.ncss.cn/gjzzjs.html；人力资源和社会保障部国际组织清单详见网址：http://io.mohrss.gov.cn/col/1002/index.html.</w:t>
      </w:r>
    </w:p>
    <w:p w14:paraId="68A4A74E">
      <w:pPr>
        <w:adjustRightInd w:val="0"/>
        <w:snapToGrid w:val="0"/>
        <w:spacing w:line="560" w:lineRule="exact"/>
        <w:ind w:firstLine="560" w:firstLineChars="200"/>
        <w:rPr>
          <w:rFonts w:ascii="Times New Roman" w:hAnsi="Times New Roman" w:eastAsia="仿宋_GB2312" w:cs="宋体"/>
          <w:sz w:val="28"/>
          <w:szCs w:val="28"/>
        </w:rPr>
      </w:pPr>
      <w:r>
        <w:rPr>
          <w:rFonts w:hint="eastAsia" w:ascii="Times New Roman" w:hAnsi="Times New Roman" w:eastAsia="仿宋_GB2312" w:cs="宋体"/>
          <w:sz w:val="28"/>
        </w:rPr>
        <w:t>④</w:t>
      </w:r>
      <w:r>
        <w:rPr>
          <w:rFonts w:hint="eastAsia" w:ascii="Times New Roman" w:hAnsi="Times New Roman" w:eastAsia="仿宋_GB2312"/>
          <w:sz w:val="28"/>
        </w:rPr>
        <w:t>社会实践类设置社会实践项目、国际组织实习与实践、精神文明及和谐社会创建活动等三个方面，学生在不同方面获得奖项可以累积加分，在同一方面中有多项加分情况时，只取最高一项。</w:t>
      </w:r>
    </w:p>
    <w:p w14:paraId="7B524721">
      <w:pPr>
        <w:spacing w:line="56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w:t>
      </w:r>
      <w:r>
        <w:rPr>
          <w:rFonts w:ascii="Times New Roman" w:hAnsi="Times New Roman" w:eastAsia="仿宋_GB2312"/>
          <w:sz w:val="28"/>
          <w:szCs w:val="28"/>
        </w:rPr>
        <w:t>5</w:t>
      </w:r>
      <w:r>
        <w:rPr>
          <w:rFonts w:hint="eastAsia" w:ascii="Times New Roman" w:hAnsi="Times New Roman" w:eastAsia="仿宋_GB2312"/>
          <w:sz w:val="28"/>
          <w:szCs w:val="28"/>
        </w:rPr>
        <w:t>）服兵役类</w:t>
      </w:r>
    </w:p>
    <w:p w14:paraId="3020A70E">
      <w:pPr>
        <w:spacing w:line="56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在校期间完成服兵役。</w:t>
      </w:r>
    </w:p>
    <w:p w14:paraId="4B5F23B1">
      <w:pPr>
        <w:pStyle w:val="14"/>
        <w:spacing w:before="156" w:after="156"/>
        <w:rPr>
          <w:rFonts w:eastAsia="仿宋_GB2312"/>
          <w:sz w:val="28"/>
          <w:szCs w:val="28"/>
        </w:rPr>
      </w:pPr>
      <w:r>
        <w:rPr>
          <w:rFonts w:hint="eastAsia"/>
        </w:rPr>
        <w:t>表</w:t>
      </w:r>
      <w:r>
        <w:t xml:space="preserve">10 </w:t>
      </w:r>
      <w:r>
        <w:rPr>
          <w:rFonts w:hint="eastAsia"/>
        </w:rPr>
        <w:t>服兵役类项目</w:t>
      </w:r>
      <w:r>
        <w:t>名称列表</w:t>
      </w:r>
    </w:p>
    <w:tbl>
      <w:tblPr>
        <w:tblStyle w:val="9"/>
        <w:tblpPr w:leftFromText="180" w:rightFromText="180" w:vertAnchor="text" w:tblpXSpec="center" w:tblpY="4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0"/>
        <w:gridCol w:w="5776"/>
        <w:gridCol w:w="1106"/>
      </w:tblGrid>
      <w:tr w14:paraId="62F91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62" w:type="pct"/>
            <w:vAlign w:val="center"/>
          </w:tcPr>
          <w:p w14:paraId="09AA4AE6">
            <w:pPr>
              <w:pStyle w:val="16"/>
              <w:rPr>
                <w:sz w:val="20"/>
              </w:rPr>
            </w:pPr>
            <w:r>
              <w:rPr>
                <w:rFonts w:hint="eastAsia"/>
                <w:sz w:val="20"/>
              </w:rPr>
              <w:t>项目类别</w:t>
            </w:r>
          </w:p>
        </w:tc>
        <w:tc>
          <w:tcPr>
            <w:tcW w:w="3389" w:type="pct"/>
            <w:vAlign w:val="center"/>
          </w:tcPr>
          <w:p w14:paraId="00E23BB8">
            <w:pPr>
              <w:pStyle w:val="16"/>
              <w:rPr>
                <w:sz w:val="20"/>
              </w:rPr>
            </w:pPr>
            <w:r>
              <w:rPr>
                <w:rFonts w:hint="eastAsia"/>
                <w:sz w:val="20"/>
              </w:rPr>
              <w:t>项目名称</w:t>
            </w:r>
          </w:p>
        </w:tc>
        <w:tc>
          <w:tcPr>
            <w:tcW w:w="649" w:type="pct"/>
            <w:vAlign w:val="center"/>
          </w:tcPr>
          <w:p w14:paraId="23FDB78E">
            <w:pPr>
              <w:pStyle w:val="16"/>
              <w:rPr>
                <w:sz w:val="20"/>
              </w:rPr>
            </w:pPr>
            <w:r>
              <w:rPr>
                <w:rFonts w:hint="eastAsia"/>
                <w:sz w:val="20"/>
              </w:rPr>
              <w:t>加分分值</w:t>
            </w:r>
          </w:p>
        </w:tc>
      </w:tr>
      <w:tr w14:paraId="2AF56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62" w:type="pct"/>
            <w:vAlign w:val="center"/>
          </w:tcPr>
          <w:p w14:paraId="51F921EE">
            <w:pPr>
              <w:pStyle w:val="16"/>
              <w:rPr>
                <w:sz w:val="20"/>
              </w:rPr>
            </w:pPr>
            <w:r>
              <w:rPr>
                <w:rFonts w:hint="eastAsia"/>
                <w:sz w:val="20"/>
              </w:rPr>
              <w:t>服兵役类</w:t>
            </w:r>
          </w:p>
        </w:tc>
        <w:tc>
          <w:tcPr>
            <w:tcW w:w="3389" w:type="pct"/>
            <w:vAlign w:val="center"/>
          </w:tcPr>
          <w:p w14:paraId="6A9232D1">
            <w:pPr>
              <w:pStyle w:val="16"/>
              <w:rPr>
                <w:sz w:val="20"/>
              </w:rPr>
            </w:pPr>
            <w:r>
              <w:rPr>
                <w:rFonts w:hint="eastAsia"/>
                <w:sz w:val="20"/>
              </w:rPr>
              <w:t>在校期间完成服兵役</w:t>
            </w:r>
          </w:p>
        </w:tc>
        <w:tc>
          <w:tcPr>
            <w:tcW w:w="649" w:type="pct"/>
            <w:vAlign w:val="center"/>
          </w:tcPr>
          <w:p w14:paraId="6A0F094C">
            <w:pPr>
              <w:pStyle w:val="16"/>
              <w:rPr>
                <w:sz w:val="20"/>
              </w:rPr>
            </w:pPr>
            <w:r>
              <w:rPr>
                <w:sz w:val="20"/>
              </w:rPr>
              <w:t>10</w:t>
            </w:r>
          </w:p>
        </w:tc>
      </w:tr>
    </w:tbl>
    <w:p w14:paraId="7E87EDA0">
      <w:pPr>
        <w:spacing w:line="56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注：</w:t>
      </w:r>
    </w:p>
    <w:p w14:paraId="388AE6CB">
      <w:pPr>
        <w:spacing w:line="560" w:lineRule="exact"/>
        <w:ind w:firstLine="560" w:firstLineChars="200"/>
        <w:rPr>
          <w:rFonts w:ascii="Times New Roman" w:hAnsi="Times New Roman" w:eastAsia="仿宋_GB2312" w:cs="宋体"/>
          <w:sz w:val="28"/>
          <w:szCs w:val="28"/>
        </w:rPr>
      </w:pPr>
      <w:r>
        <w:rPr>
          <w:rFonts w:hint="eastAsia" w:ascii="Times New Roman" w:hAnsi="Times New Roman" w:eastAsia="仿宋_GB2312"/>
          <w:sz w:val="28"/>
        </w:rPr>
        <w:t>服兵役类设置一个方面，学生在同一方面中有多项加分情况时，只取最高一项。</w:t>
      </w:r>
    </w:p>
    <w:p w14:paraId="2B640358">
      <w:pPr>
        <w:spacing w:line="56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w:t>
      </w:r>
      <w:r>
        <w:rPr>
          <w:rFonts w:ascii="Times New Roman" w:hAnsi="Times New Roman" w:eastAsia="仿宋_GB2312"/>
          <w:sz w:val="28"/>
          <w:szCs w:val="28"/>
        </w:rPr>
        <w:t>6</w:t>
      </w:r>
      <w:r>
        <w:rPr>
          <w:rFonts w:hint="eastAsia" w:ascii="Times New Roman" w:hAnsi="Times New Roman" w:eastAsia="仿宋_GB2312"/>
          <w:sz w:val="28"/>
          <w:szCs w:val="28"/>
        </w:rPr>
        <w:t>）荣誉类</w:t>
      </w:r>
    </w:p>
    <w:p w14:paraId="2C1C7661">
      <w:pPr>
        <w:spacing w:line="56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荣誉类特指个人或团体由于优异表现所获得的，在本办法前述范围之外的奖励和评价，如优秀学生干部、三好学生等。不包括奖学金类、助学金类。</w:t>
      </w:r>
    </w:p>
    <w:p w14:paraId="3413A244">
      <w:pPr>
        <w:pStyle w:val="14"/>
        <w:spacing w:before="156" w:after="156"/>
        <w:rPr>
          <w:rFonts w:eastAsia="仿宋_GB2312"/>
          <w:sz w:val="28"/>
          <w:szCs w:val="28"/>
        </w:rPr>
      </w:pPr>
      <w:r>
        <w:rPr>
          <w:rFonts w:hint="eastAsia"/>
        </w:rPr>
        <w:t>表</w:t>
      </w:r>
      <w:r>
        <w:t xml:space="preserve">11 </w:t>
      </w:r>
      <w:r>
        <w:rPr>
          <w:rFonts w:hint="eastAsia"/>
        </w:rPr>
        <w:t>荣誉类加分</w:t>
      </w:r>
      <w:r>
        <w:t>标准</w:t>
      </w:r>
    </w:p>
    <w:tbl>
      <w:tblPr>
        <w:tblStyle w:val="8"/>
        <w:tblW w:w="81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7"/>
        <w:gridCol w:w="2707"/>
        <w:gridCol w:w="2707"/>
      </w:tblGrid>
      <w:tr w14:paraId="6FEDC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07" w:type="dxa"/>
            <w:vAlign w:val="center"/>
          </w:tcPr>
          <w:p w14:paraId="61B143C7">
            <w:pPr>
              <w:pStyle w:val="16"/>
            </w:pPr>
            <w:r>
              <w:rPr>
                <w:rFonts w:hint="eastAsia"/>
              </w:rPr>
              <w:t>国家级（分）</w:t>
            </w:r>
          </w:p>
        </w:tc>
        <w:tc>
          <w:tcPr>
            <w:tcW w:w="2707" w:type="dxa"/>
            <w:vAlign w:val="center"/>
          </w:tcPr>
          <w:p w14:paraId="4094D57E">
            <w:pPr>
              <w:pStyle w:val="16"/>
            </w:pPr>
            <w:r>
              <w:rPr>
                <w:rFonts w:hint="eastAsia"/>
              </w:rPr>
              <w:t>省（市）级（分）</w:t>
            </w:r>
          </w:p>
        </w:tc>
        <w:tc>
          <w:tcPr>
            <w:tcW w:w="2707" w:type="dxa"/>
            <w:vAlign w:val="center"/>
          </w:tcPr>
          <w:p w14:paraId="33C303E5">
            <w:pPr>
              <w:pStyle w:val="16"/>
            </w:pPr>
            <w:r>
              <w:rPr>
                <w:rFonts w:hint="eastAsia"/>
              </w:rPr>
              <w:t>校级（分）</w:t>
            </w:r>
          </w:p>
        </w:tc>
      </w:tr>
      <w:tr w14:paraId="37F38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07" w:type="dxa"/>
            <w:vAlign w:val="center"/>
          </w:tcPr>
          <w:p w14:paraId="707B3DA7">
            <w:pPr>
              <w:pStyle w:val="16"/>
            </w:pPr>
            <w:r>
              <w:t>40</w:t>
            </w:r>
          </w:p>
        </w:tc>
        <w:tc>
          <w:tcPr>
            <w:tcW w:w="2707" w:type="dxa"/>
            <w:vAlign w:val="center"/>
          </w:tcPr>
          <w:p w14:paraId="7C675505">
            <w:pPr>
              <w:pStyle w:val="16"/>
            </w:pPr>
            <w:r>
              <w:t>25</w:t>
            </w:r>
          </w:p>
        </w:tc>
        <w:tc>
          <w:tcPr>
            <w:tcW w:w="2707" w:type="dxa"/>
            <w:vAlign w:val="center"/>
          </w:tcPr>
          <w:p w14:paraId="6AAEBACF">
            <w:pPr>
              <w:pStyle w:val="16"/>
            </w:pPr>
            <w:r>
              <w:t>2</w:t>
            </w:r>
          </w:p>
        </w:tc>
      </w:tr>
    </w:tbl>
    <w:p w14:paraId="1713459F">
      <w:pPr>
        <w:spacing w:line="56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注：</w:t>
      </w:r>
    </w:p>
    <w:p w14:paraId="2B4193FF">
      <w:pPr>
        <w:spacing w:line="560" w:lineRule="exact"/>
        <w:ind w:firstLine="560" w:firstLineChars="200"/>
      </w:pPr>
      <w:r>
        <w:rPr>
          <w:rFonts w:hint="eastAsia" w:ascii="Times New Roman" w:hAnsi="Times New Roman" w:eastAsia="仿宋_GB2312"/>
          <w:sz w:val="28"/>
          <w:szCs w:val="28"/>
        </w:rPr>
        <w:t>主要是指由党、政、团等组织评选的荣誉称号。</w:t>
      </w:r>
    </w:p>
    <w:p w14:paraId="36D1E428">
      <w:pPr>
        <w:pStyle w:val="14"/>
        <w:spacing w:before="156" w:after="156"/>
        <w:rPr>
          <w:rFonts w:eastAsia="仿宋_GB2312"/>
          <w:sz w:val="28"/>
          <w:szCs w:val="28"/>
        </w:rPr>
      </w:pPr>
      <w:r>
        <w:rPr>
          <w:rFonts w:hint="eastAsia"/>
        </w:rPr>
        <w:t>表</w:t>
      </w:r>
      <w:r>
        <w:t xml:space="preserve">12 </w:t>
      </w:r>
      <w:r>
        <w:rPr>
          <w:rFonts w:hint="eastAsia"/>
        </w:rPr>
        <w:t>荣誉类项目</w:t>
      </w:r>
      <w:r>
        <w:t>名称列表</w:t>
      </w:r>
    </w:p>
    <w:tbl>
      <w:tblPr>
        <w:tblStyle w:val="9"/>
        <w:tblpPr w:leftFromText="180" w:rightFromText="180" w:vertAnchor="text" w:tblpXSpec="center" w:tblpY="42"/>
        <w:tblW w:w="495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40"/>
      </w:tblGrid>
      <w:tr w14:paraId="13DA3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000" w:type="pct"/>
            <w:vAlign w:val="center"/>
          </w:tcPr>
          <w:p w14:paraId="04576D27">
            <w:pPr>
              <w:pStyle w:val="16"/>
              <w:rPr>
                <w:sz w:val="20"/>
              </w:rPr>
            </w:pPr>
            <w:r>
              <w:rPr>
                <w:rFonts w:hint="eastAsia"/>
                <w:sz w:val="20"/>
              </w:rPr>
              <w:t>项目名称</w:t>
            </w:r>
          </w:p>
        </w:tc>
      </w:tr>
      <w:tr w14:paraId="1B835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000" w:type="pct"/>
            <w:vAlign w:val="center"/>
          </w:tcPr>
          <w:p w14:paraId="704AA087">
            <w:pPr>
              <w:pStyle w:val="16"/>
              <w:rPr>
                <w:sz w:val="20"/>
              </w:rPr>
            </w:pPr>
            <w:r>
              <w:rPr>
                <w:rFonts w:hint="eastAsia"/>
                <w:sz w:val="20"/>
              </w:rPr>
              <w:t>三好学生</w:t>
            </w:r>
          </w:p>
        </w:tc>
      </w:tr>
      <w:tr w14:paraId="215C9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000" w:type="pct"/>
            <w:vAlign w:val="center"/>
          </w:tcPr>
          <w:p w14:paraId="3C5194ED">
            <w:pPr>
              <w:pStyle w:val="16"/>
              <w:rPr>
                <w:sz w:val="20"/>
              </w:rPr>
            </w:pPr>
            <w:r>
              <w:rPr>
                <w:rFonts w:hint="eastAsia"/>
                <w:sz w:val="20"/>
              </w:rPr>
              <w:t>优秀大学生</w:t>
            </w:r>
          </w:p>
        </w:tc>
      </w:tr>
      <w:tr w14:paraId="574F7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000" w:type="pct"/>
            <w:vAlign w:val="center"/>
          </w:tcPr>
          <w:p w14:paraId="229767C2">
            <w:pPr>
              <w:pStyle w:val="16"/>
              <w:rPr>
                <w:sz w:val="20"/>
              </w:rPr>
            </w:pPr>
            <w:r>
              <w:rPr>
                <w:rFonts w:hint="eastAsia"/>
                <w:sz w:val="20"/>
              </w:rPr>
              <w:t>优秀学生干部</w:t>
            </w:r>
          </w:p>
        </w:tc>
      </w:tr>
      <w:tr w14:paraId="366B6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000" w:type="pct"/>
            <w:vAlign w:val="center"/>
          </w:tcPr>
          <w:p w14:paraId="2E7F94D1">
            <w:pPr>
              <w:pStyle w:val="16"/>
              <w:rPr>
                <w:sz w:val="20"/>
              </w:rPr>
            </w:pPr>
            <w:r>
              <w:rPr>
                <w:rFonts w:hint="eastAsia"/>
                <w:sz w:val="20"/>
              </w:rPr>
              <w:t>优秀共青团员</w:t>
            </w:r>
          </w:p>
        </w:tc>
      </w:tr>
      <w:tr w14:paraId="72BDC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000" w:type="pct"/>
            <w:vAlign w:val="center"/>
          </w:tcPr>
          <w:p w14:paraId="73E9827F">
            <w:pPr>
              <w:pStyle w:val="16"/>
              <w:rPr>
                <w:sz w:val="20"/>
              </w:rPr>
            </w:pPr>
            <w:r>
              <w:rPr>
                <w:rFonts w:hint="eastAsia"/>
                <w:sz w:val="20"/>
              </w:rPr>
              <w:t>优秀共青团干部</w:t>
            </w:r>
          </w:p>
        </w:tc>
      </w:tr>
      <w:tr w14:paraId="3A4EE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000" w:type="pct"/>
            <w:vAlign w:val="center"/>
          </w:tcPr>
          <w:p w14:paraId="68D59DA5">
            <w:pPr>
              <w:pStyle w:val="16"/>
              <w:rPr>
                <w:sz w:val="20"/>
              </w:rPr>
            </w:pPr>
            <w:r>
              <w:rPr>
                <w:rFonts w:hint="eastAsia"/>
                <w:sz w:val="20"/>
              </w:rPr>
              <w:t>优秀共产党员</w:t>
            </w:r>
          </w:p>
        </w:tc>
      </w:tr>
    </w:tbl>
    <w:p w14:paraId="5EAEBE04">
      <w:pPr>
        <w:spacing w:line="56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注：</w:t>
      </w:r>
    </w:p>
    <w:p w14:paraId="7EB0AC38">
      <w:pPr>
        <w:spacing w:line="560" w:lineRule="exact"/>
        <w:ind w:firstLine="560" w:firstLineChars="200"/>
        <w:rPr>
          <w:rFonts w:ascii="Times New Roman" w:hAnsi="Times New Roman" w:eastAsia="仿宋_GB2312"/>
          <w:sz w:val="28"/>
        </w:rPr>
      </w:pPr>
      <w:r>
        <w:rPr>
          <w:rFonts w:hint="eastAsia" w:ascii="Times New Roman" w:hAnsi="Times New Roman" w:eastAsia="仿宋_GB2312"/>
          <w:sz w:val="28"/>
        </w:rPr>
        <w:t>荣誉类每个</w:t>
      </w:r>
      <w:r>
        <w:rPr>
          <w:rFonts w:ascii="Times New Roman" w:hAnsi="Times New Roman" w:eastAsia="仿宋_GB2312"/>
          <w:sz w:val="28"/>
        </w:rPr>
        <w:t>称号</w:t>
      </w:r>
      <w:r>
        <w:rPr>
          <w:rFonts w:hint="eastAsia" w:ascii="Times New Roman" w:hAnsi="Times New Roman" w:eastAsia="仿宋_GB2312"/>
          <w:sz w:val="28"/>
        </w:rPr>
        <w:t>为</w:t>
      </w:r>
      <w:r>
        <w:rPr>
          <w:rFonts w:ascii="Times New Roman" w:hAnsi="Times New Roman" w:eastAsia="仿宋_GB2312"/>
          <w:sz w:val="28"/>
        </w:rPr>
        <w:t>一</w:t>
      </w:r>
      <w:r>
        <w:rPr>
          <w:rFonts w:hint="eastAsia" w:ascii="Times New Roman" w:hAnsi="Times New Roman" w:eastAsia="仿宋_GB2312"/>
          <w:sz w:val="28"/>
        </w:rPr>
        <w:t>个方面，学生在不同方面获得奖项可以累积加分，在同一方面中有多项加分情况时，只取最高一项。</w:t>
      </w:r>
    </w:p>
    <w:p w14:paraId="24F9031C">
      <w:pPr>
        <w:spacing w:line="560" w:lineRule="exact"/>
        <w:ind w:firstLine="562" w:firstLineChars="200"/>
        <w:rPr>
          <w:rFonts w:ascii="Times New Roman" w:hAnsi="Times New Roman" w:eastAsia="仿宋_GB2312"/>
          <w:sz w:val="28"/>
          <w:szCs w:val="28"/>
        </w:rPr>
      </w:pPr>
      <w:r>
        <w:rPr>
          <w:rFonts w:hint="eastAsia" w:ascii="Times New Roman" w:hAnsi="Times New Roman" w:eastAsia="仿宋_GB2312"/>
          <w:b/>
          <w:sz w:val="28"/>
          <w:szCs w:val="28"/>
        </w:rPr>
        <w:t>第七条</w:t>
      </w:r>
      <w:r>
        <w:rPr>
          <w:rFonts w:ascii="Times New Roman" w:hAnsi="Times New Roman" w:eastAsia="仿宋_GB2312"/>
          <w:sz w:val="28"/>
          <w:szCs w:val="28"/>
        </w:rPr>
        <w:t xml:space="preserve">  </w:t>
      </w:r>
      <w:r>
        <w:rPr>
          <w:rFonts w:hint="eastAsia" w:ascii="Times New Roman" w:hAnsi="Times New Roman" w:eastAsia="仿宋_GB2312"/>
          <w:sz w:val="28"/>
          <w:szCs w:val="28"/>
        </w:rPr>
        <w:t>拔尖项目加分规则</w:t>
      </w:r>
    </w:p>
    <w:p w14:paraId="25AE947B">
      <w:pPr>
        <w:spacing w:line="56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参照《西南财经大学推免生综合测评成绩评定暂行办法》第四条拔尖项目加分规则执行。</w:t>
      </w:r>
    </w:p>
    <w:p w14:paraId="173CF742">
      <w:pPr>
        <w:pStyle w:val="3"/>
        <w:spacing w:before="312" w:after="312"/>
      </w:pPr>
      <w:r>
        <w:t xml:space="preserve">第四章  </w:t>
      </w:r>
      <w:r>
        <w:rPr>
          <w:rFonts w:hint="eastAsia"/>
        </w:rPr>
        <w:t>学术专长认定</w:t>
      </w:r>
    </w:p>
    <w:p w14:paraId="74510868">
      <w:pPr>
        <w:spacing w:line="560" w:lineRule="exact"/>
        <w:ind w:firstLine="562" w:firstLineChars="200"/>
        <w:rPr>
          <w:rFonts w:ascii="Times New Roman" w:hAnsi="Times New Roman" w:eastAsia="仿宋_GB2312"/>
          <w:sz w:val="28"/>
          <w:szCs w:val="28"/>
        </w:rPr>
      </w:pPr>
      <w:r>
        <w:rPr>
          <w:rFonts w:hint="eastAsia" w:ascii="Times New Roman" w:hAnsi="Times New Roman" w:eastAsia="仿宋_GB2312"/>
          <w:b/>
          <w:sz w:val="28"/>
          <w:szCs w:val="28"/>
        </w:rPr>
        <w:t>第</w:t>
      </w:r>
      <w:r>
        <w:rPr>
          <w:rFonts w:hint="eastAsia" w:ascii="Times New Roman" w:hAnsi="Times New Roman" w:eastAsia="仿宋_GB2312"/>
          <w:b/>
          <w:sz w:val="28"/>
          <w:szCs w:val="28"/>
          <w:lang w:eastAsia="zh-CN"/>
        </w:rPr>
        <w:t>八</w:t>
      </w:r>
      <w:r>
        <w:rPr>
          <w:rFonts w:hint="eastAsia" w:ascii="Times New Roman" w:hAnsi="Times New Roman" w:eastAsia="仿宋_GB2312"/>
          <w:b/>
          <w:sz w:val="28"/>
          <w:szCs w:val="28"/>
        </w:rPr>
        <w:t>条</w:t>
      </w:r>
      <w:r>
        <w:rPr>
          <w:rFonts w:ascii="Times New Roman" w:hAnsi="Times New Roman" w:eastAsia="仿宋_GB2312" w:cs="仿宋"/>
          <w:kern w:val="0"/>
          <w:sz w:val="28"/>
          <w:szCs w:val="28"/>
        </w:rPr>
        <w:t xml:space="preserve">  </w:t>
      </w:r>
      <w:r>
        <w:rPr>
          <w:rFonts w:hint="eastAsia" w:ascii="Times New Roman" w:hAnsi="Times New Roman" w:eastAsia="仿宋_GB2312"/>
          <w:sz w:val="28"/>
          <w:szCs w:val="28"/>
        </w:rPr>
        <w:t>推免生学术专长原则上仅限学生本科阶段在核心期刊上以独立作者或第一作者发表的与学业相关的科研论文；作为主力成员参加与学业相关的国内权威科研竞赛（全国赛）并获得三等奖以上奖励。</w:t>
      </w:r>
    </w:p>
    <w:p w14:paraId="22415474">
      <w:pPr>
        <w:spacing w:line="56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论文原则上只认定发表于《西南财经大学学术期刊目录》的中英文论文及《人民日报》《光明日报》理论版文章。国际赛事的认定参照全国赛执行，但不得低于全国赛事相关要求。</w:t>
      </w:r>
    </w:p>
    <w:p w14:paraId="05B3FEE3">
      <w:pPr>
        <w:spacing w:line="560" w:lineRule="exact"/>
        <w:ind w:firstLine="562" w:firstLineChars="200"/>
        <w:rPr>
          <w:rFonts w:ascii="Times New Roman" w:hAnsi="Times New Roman" w:eastAsia="仿宋_GB2312"/>
          <w:sz w:val="28"/>
          <w:szCs w:val="28"/>
        </w:rPr>
      </w:pPr>
      <w:r>
        <w:rPr>
          <w:rFonts w:hint="eastAsia" w:ascii="Times New Roman" w:hAnsi="Times New Roman" w:eastAsia="仿宋_GB2312"/>
          <w:b/>
          <w:sz w:val="28"/>
          <w:szCs w:val="28"/>
        </w:rPr>
        <w:t>第</w:t>
      </w:r>
      <w:r>
        <w:rPr>
          <w:rFonts w:hint="eastAsia" w:ascii="Times New Roman" w:hAnsi="Times New Roman" w:eastAsia="仿宋_GB2312"/>
          <w:b/>
          <w:sz w:val="28"/>
          <w:szCs w:val="28"/>
          <w:lang w:eastAsia="zh-CN"/>
        </w:rPr>
        <w:t>九</w:t>
      </w:r>
      <w:r>
        <w:rPr>
          <w:rFonts w:hint="eastAsia" w:ascii="Times New Roman" w:hAnsi="Times New Roman" w:eastAsia="仿宋_GB2312"/>
          <w:b/>
          <w:sz w:val="28"/>
          <w:szCs w:val="28"/>
        </w:rPr>
        <w:t>条</w:t>
      </w:r>
      <w:r>
        <w:rPr>
          <w:rFonts w:ascii="Times New Roman" w:hAnsi="Times New Roman" w:eastAsia="仿宋_GB2312" w:cs="仿宋"/>
          <w:kern w:val="0"/>
          <w:sz w:val="28"/>
          <w:szCs w:val="28"/>
        </w:rPr>
        <w:t xml:space="preserve"> </w:t>
      </w:r>
      <w:r>
        <w:rPr>
          <w:rFonts w:ascii="Times New Roman" w:hAnsi="Times New Roman" w:eastAsia="仿宋_GB2312"/>
          <w:sz w:val="28"/>
          <w:szCs w:val="28"/>
        </w:rPr>
        <w:t xml:space="preserve"> </w:t>
      </w:r>
      <w:r>
        <w:rPr>
          <w:rFonts w:hint="eastAsia" w:ascii="Times New Roman" w:hAnsi="Times New Roman" w:eastAsia="仿宋_GB2312"/>
          <w:sz w:val="28"/>
          <w:szCs w:val="28"/>
        </w:rPr>
        <w:t>学生与直系亲属或学历、职称、职务明显高于本人者合作的科研成果、竞赛奖项等仅作为参考，不纳入学生本人推免遴选综合测评成绩计算体系，同等条件下可优先考虑。</w:t>
      </w:r>
    </w:p>
    <w:p w14:paraId="504A4E7C">
      <w:pPr>
        <w:adjustRightInd w:val="0"/>
        <w:snapToGrid w:val="0"/>
        <w:spacing w:line="560" w:lineRule="exact"/>
        <w:ind w:firstLine="562" w:firstLineChars="200"/>
        <w:rPr>
          <w:rFonts w:ascii="Times New Roman" w:hAnsi="Times New Roman" w:eastAsia="仿宋_GB2312"/>
          <w:sz w:val="28"/>
          <w:szCs w:val="28"/>
        </w:rPr>
      </w:pPr>
      <w:r>
        <w:rPr>
          <w:rFonts w:hint="eastAsia" w:ascii="Times New Roman" w:hAnsi="Times New Roman" w:eastAsia="仿宋_GB2312"/>
          <w:b/>
          <w:sz w:val="28"/>
          <w:szCs w:val="28"/>
        </w:rPr>
        <w:t>第十条</w:t>
      </w:r>
      <w:r>
        <w:rPr>
          <w:rFonts w:ascii="Times New Roman" w:hAnsi="Times New Roman" w:eastAsia="仿宋_GB2312"/>
          <w:sz w:val="28"/>
          <w:szCs w:val="28"/>
        </w:rPr>
        <w:t xml:space="preserve">  </w:t>
      </w:r>
      <w:r>
        <w:rPr>
          <w:rFonts w:hint="eastAsia" w:ascii="Times New Roman" w:hAnsi="Times New Roman" w:eastAsia="仿宋_GB2312"/>
          <w:sz w:val="28"/>
          <w:szCs w:val="28"/>
        </w:rPr>
        <w:t>学院成立专家审核小组（专家组成员原则上应具有相关学科副教授以上职称，一般不少于</w:t>
      </w:r>
      <w:r>
        <w:rPr>
          <w:rFonts w:ascii="Times New Roman" w:hAnsi="Times New Roman" w:eastAsia="仿宋_GB2312"/>
          <w:sz w:val="28"/>
          <w:szCs w:val="28"/>
        </w:rPr>
        <w:t>5</w:t>
      </w:r>
      <w:r>
        <w:rPr>
          <w:rFonts w:hint="eastAsia" w:ascii="Times New Roman" w:hAnsi="Times New Roman" w:eastAsia="仿宋_GB2312"/>
          <w:sz w:val="28"/>
          <w:szCs w:val="28"/>
        </w:rPr>
        <w:t>人），会同相关期刊杂志单位、赛事主办单位等，对申请推免资格学生的科研创新成果、论文（文章）、竞赛获奖奖项及内容进行审核鉴定，排除抄袭、造假、冒名及有名无实等情况，并组织相关学生在一定范围进行公开答辩，专家审核小组及每位成员应明确签署审核鉴定意见并存档。答辩全程应录音录像，答辩结果应公开公示，未通过审核鉴定或答辩的，不得纳入推免遴选综合评价成绩计算体系。</w:t>
      </w:r>
    </w:p>
    <w:p w14:paraId="2EC6B5D5">
      <w:pPr>
        <w:pStyle w:val="3"/>
        <w:spacing w:before="312" w:after="312"/>
      </w:pPr>
      <w:r>
        <w:t>第</w:t>
      </w:r>
      <w:r>
        <w:rPr>
          <w:rFonts w:hint="eastAsia"/>
        </w:rPr>
        <w:t>五</w:t>
      </w:r>
      <w:r>
        <w:t xml:space="preserve">章  </w:t>
      </w:r>
      <w:r>
        <w:rPr>
          <w:rFonts w:hint="eastAsia"/>
        </w:rPr>
        <w:t>管理与监督</w:t>
      </w:r>
    </w:p>
    <w:p w14:paraId="792189C8">
      <w:pPr>
        <w:spacing w:line="560" w:lineRule="exact"/>
        <w:ind w:firstLine="562" w:firstLineChars="200"/>
        <w:rPr>
          <w:rFonts w:ascii="Times New Roman" w:hAnsi="Times New Roman" w:eastAsia="仿宋_GB2312"/>
          <w:sz w:val="28"/>
          <w:szCs w:val="28"/>
        </w:rPr>
      </w:pPr>
      <w:r>
        <w:rPr>
          <w:rFonts w:hint="eastAsia" w:ascii="Times New Roman" w:hAnsi="Times New Roman" w:eastAsia="仿宋_GB2312"/>
          <w:b/>
          <w:sz w:val="28"/>
          <w:szCs w:val="28"/>
        </w:rPr>
        <w:t>第十</w:t>
      </w:r>
      <w:r>
        <w:rPr>
          <w:rFonts w:hint="eastAsia" w:ascii="Times New Roman" w:hAnsi="Times New Roman" w:eastAsia="仿宋_GB2312"/>
          <w:b/>
          <w:sz w:val="28"/>
          <w:szCs w:val="28"/>
          <w:lang w:eastAsia="zh-CN"/>
        </w:rPr>
        <w:t>一</w:t>
      </w:r>
      <w:r>
        <w:rPr>
          <w:rFonts w:hint="eastAsia" w:ascii="Times New Roman" w:hAnsi="Times New Roman" w:eastAsia="仿宋_GB2312"/>
          <w:b/>
          <w:sz w:val="28"/>
          <w:szCs w:val="28"/>
        </w:rPr>
        <w:t>条</w:t>
      </w:r>
      <w:r>
        <w:rPr>
          <w:rFonts w:ascii="Times New Roman" w:hAnsi="Times New Roman" w:eastAsia="仿宋_GB2312"/>
          <w:sz w:val="28"/>
          <w:szCs w:val="28"/>
        </w:rPr>
        <w:t xml:space="preserve">  </w:t>
      </w:r>
      <w:r>
        <w:rPr>
          <w:rFonts w:hint="eastAsia" w:ascii="Times New Roman" w:hAnsi="Times New Roman" w:eastAsia="仿宋_GB2312"/>
          <w:sz w:val="28"/>
          <w:szCs w:val="28"/>
        </w:rPr>
        <w:t>推免相关工作人员有直系亲属或利益相关人员报名参加推免招生的，应主动向学院工作小组申请回避。有非直系亲属等报名参加推免招生的，应主动向学院工作小组报备。相关学生申请推免资格时也应主动向学院工作小组报备声明。</w:t>
      </w:r>
    </w:p>
    <w:p w14:paraId="69D97CC7">
      <w:pPr>
        <w:spacing w:line="56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对未按规定报备声明回避关系的推免相关工作人员，学校将依规依据严肃处理；对未按规定报备声明回避关系且影响推免过程和结果公平公正的学生，将取消该生的推免资格。</w:t>
      </w:r>
    </w:p>
    <w:p w14:paraId="6B018685">
      <w:pPr>
        <w:spacing w:line="560" w:lineRule="exact"/>
        <w:ind w:firstLine="562" w:firstLineChars="200"/>
        <w:rPr>
          <w:rFonts w:ascii="Times New Roman" w:hAnsi="Times New Roman" w:eastAsia="仿宋_GB2312"/>
          <w:sz w:val="28"/>
          <w:szCs w:val="28"/>
        </w:rPr>
      </w:pPr>
      <w:r>
        <w:rPr>
          <w:rFonts w:hint="eastAsia" w:ascii="Times New Roman" w:hAnsi="Times New Roman" w:eastAsia="仿宋_GB2312"/>
          <w:b/>
          <w:sz w:val="28"/>
          <w:szCs w:val="28"/>
        </w:rPr>
        <w:t>第十</w:t>
      </w:r>
      <w:r>
        <w:rPr>
          <w:rFonts w:hint="eastAsia" w:ascii="Times New Roman" w:hAnsi="Times New Roman" w:eastAsia="仿宋_GB2312"/>
          <w:b/>
          <w:sz w:val="28"/>
          <w:szCs w:val="28"/>
          <w:lang w:eastAsia="zh-CN"/>
        </w:rPr>
        <w:t>二</w:t>
      </w:r>
      <w:r>
        <w:rPr>
          <w:rFonts w:hint="eastAsia" w:ascii="Times New Roman" w:hAnsi="Times New Roman" w:eastAsia="仿宋_GB2312"/>
          <w:b/>
          <w:sz w:val="28"/>
          <w:szCs w:val="28"/>
        </w:rPr>
        <w:t>条</w:t>
      </w:r>
      <w:r>
        <w:rPr>
          <w:rFonts w:ascii="Times New Roman" w:hAnsi="Times New Roman" w:eastAsia="仿宋_GB2312"/>
          <w:sz w:val="28"/>
          <w:szCs w:val="28"/>
        </w:rPr>
        <w:t xml:space="preserve">  </w:t>
      </w:r>
      <w:r>
        <w:rPr>
          <w:rFonts w:hint="eastAsia" w:ascii="Times New Roman" w:hAnsi="Times New Roman" w:eastAsia="仿宋_GB2312"/>
          <w:sz w:val="28"/>
          <w:szCs w:val="28"/>
        </w:rPr>
        <w:t>对在推免过程中弄虚作假，有论文抄袭、虚报获奖或科研成果等学术不端行为或者有其他严重影响推免过程和结果公平公正行为的学生，一经查实，取消推免生资格，已入学的取消学籍，并报省级教育招生考试机构按规定记入《国家教育考试考生诚信档案》。</w:t>
      </w:r>
    </w:p>
    <w:p w14:paraId="4FF7566A">
      <w:pPr>
        <w:spacing w:line="56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对在推免工作中管理松懈、把关不严，未能尽到审核责任的学院，核减下一年度推免生名额，影响学校推免资格的追究相关人员责任。</w:t>
      </w:r>
    </w:p>
    <w:p w14:paraId="2B78BB3A">
      <w:pPr>
        <w:spacing w:line="560" w:lineRule="exact"/>
        <w:ind w:firstLine="562" w:firstLineChars="200"/>
        <w:rPr>
          <w:rFonts w:ascii="Times New Roman" w:hAnsi="Times New Roman" w:eastAsia="仿宋_GB2312"/>
          <w:sz w:val="28"/>
          <w:szCs w:val="28"/>
        </w:rPr>
      </w:pPr>
      <w:r>
        <w:rPr>
          <w:rFonts w:hint="eastAsia" w:ascii="Times New Roman" w:hAnsi="Times New Roman" w:eastAsia="仿宋_GB2312"/>
          <w:b/>
          <w:sz w:val="28"/>
          <w:szCs w:val="28"/>
        </w:rPr>
        <w:t>第十</w:t>
      </w:r>
      <w:r>
        <w:rPr>
          <w:rFonts w:hint="eastAsia" w:ascii="Times New Roman" w:hAnsi="Times New Roman" w:eastAsia="仿宋_GB2312"/>
          <w:b/>
          <w:sz w:val="28"/>
          <w:szCs w:val="28"/>
          <w:lang w:eastAsia="zh-CN"/>
        </w:rPr>
        <w:t>三</w:t>
      </w:r>
      <w:r>
        <w:rPr>
          <w:rFonts w:hint="eastAsia" w:ascii="Times New Roman" w:hAnsi="Times New Roman" w:eastAsia="仿宋_GB2312"/>
          <w:b/>
          <w:sz w:val="28"/>
          <w:szCs w:val="28"/>
        </w:rPr>
        <w:t>条</w:t>
      </w:r>
      <w:r>
        <w:rPr>
          <w:rFonts w:ascii="Times New Roman" w:hAnsi="Times New Roman" w:eastAsia="仿宋_GB2312"/>
          <w:sz w:val="28"/>
          <w:szCs w:val="28"/>
        </w:rPr>
        <w:t xml:space="preserve">  </w:t>
      </w:r>
      <w:r>
        <w:rPr>
          <w:rFonts w:hint="eastAsia" w:ascii="Times New Roman" w:hAnsi="Times New Roman" w:eastAsia="仿宋_GB2312"/>
          <w:sz w:val="28"/>
          <w:szCs w:val="28"/>
        </w:rPr>
        <w:t>学生对推免生工作或名单有异议，可按照《西南财经大学学生申诉处理办法》申诉。</w:t>
      </w:r>
    </w:p>
    <w:p w14:paraId="49A2A01E">
      <w:pPr>
        <w:spacing w:line="560" w:lineRule="exact"/>
        <w:ind w:firstLine="562" w:firstLineChars="200"/>
        <w:rPr>
          <w:rFonts w:ascii="Times New Roman" w:hAnsi="Times New Roman" w:eastAsia="仿宋_GB2312"/>
          <w:sz w:val="28"/>
          <w:szCs w:val="28"/>
        </w:rPr>
      </w:pPr>
      <w:r>
        <w:rPr>
          <w:rFonts w:hint="eastAsia" w:ascii="Times New Roman" w:hAnsi="Times New Roman" w:eastAsia="仿宋_GB2312"/>
          <w:b/>
          <w:sz w:val="28"/>
          <w:szCs w:val="28"/>
        </w:rPr>
        <w:t>第十</w:t>
      </w:r>
      <w:r>
        <w:rPr>
          <w:rFonts w:hint="eastAsia" w:ascii="Times New Roman" w:hAnsi="Times New Roman" w:eastAsia="仿宋_GB2312"/>
          <w:b/>
          <w:sz w:val="28"/>
          <w:szCs w:val="28"/>
          <w:lang w:eastAsia="zh-CN"/>
        </w:rPr>
        <w:t>四</w:t>
      </w:r>
      <w:r>
        <w:rPr>
          <w:rFonts w:hint="eastAsia" w:ascii="Times New Roman" w:hAnsi="Times New Roman" w:eastAsia="仿宋_GB2312"/>
          <w:b/>
          <w:sz w:val="28"/>
          <w:szCs w:val="28"/>
        </w:rPr>
        <w:t>条</w:t>
      </w:r>
      <w:r>
        <w:rPr>
          <w:rFonts w:ascii="Times New Roman" w:hAnsi="Times New Roman" w:eastAsia="仿宋_GB2312"/>
          <w:sz w:val="28"/>
          <w:szCs w:val="28"/>
        </w:rPr>
        <w:t xml:space="preserve">  </w:t>
      </w:r>
      <w:r>
        <w:rPr>
          <w:rFonts w:hint="eastAsia" w:ascii="Times New Roman" w:hAnsi="Times New Roman" w:eastAsia="仿宋_GB2312"/>
          <w:sz w:val="28"/>
          <w:szCs w:val="28"/>
        </w:rPr>
        <w:t>获得推免生资格后如出现考试作弊和学术不端行为、不能按期毕业或不能获得学士学位证书，推免生资格自动取消。</w:t>
      </w:r>
    </w:p>
    <w:p w14:paraId="53CE9A7C">
      <w:pPr>
        <w:spacing w:line="560" w:lineRule="exact"/>
        <w:ind w:firstLine="562" w:firstLineChars="200"/>
        <w:rPr>
          <w:rFonts w:ascii="Times New Roman" w:hAnsi="Times New Roman" w:eastAsia="仿宋_GB2312"/>
          <w:sz w:val="28"/>
          <w:szCs w:val="28"/>
        </w:rPr>
      </w:pPr>
      <w:r>
        <w:rPr>
          <w:rFonts w:hint="eastAsia" w:ascii="Times New Roman" w:hAnsi="Times New Roman" w:eastAsia="仿宋_GB2312"/>
          <w:b/>
          <w:sz w:val="28"/>
          <w:szCs w:val="28"/>
        </w:rPr>
        <w:t>第十</w:t>
      </w:r>
      <w:r>
        <w:rPr>
          <w:rFonts w:hint="eastAsia" w:ascii="Times New Roman" w:hAnsi="Times New Roman" w:eastAsia="仿宋_GB2312"/>
          <w:b/>
          <w:sz w:val="28"/>
          <w:szCs w:val="28"/>
          <w:lang w:eastAsia="zh-CN"/>
        </w:rPr>
        <w:t>五</w:t>
      </w:r>
      <w:r>
        <w:rPr>
          <w:rFonts w:hint="eastAsia" w:ascii="Times New Roman" w:hAnsi="Times New Roman" w:eastAsia="仿宋_GB2312"/>
          <w:b/>
          <w:sz w:val="28"/>
          <w:szCs w:val="28"/>
        </w:rPr>
        <w:t>条</w:t>
      </w:r>
      <w:r>
        <w:rPr>
          <w:rFonts w:ascii="Times New Roman" w:hAnsi="Times New Roman" w:eastAsia="仿宋_GB2312"/>
          <w:sz w:val="28"/>
          <w:szCs w:val="28"/>
        </w:rPr>
        <w:t xml:space="preserve">  </w:t>
      </w:r>
      <w:r>
        <w:rPr>
          <w:rFonts w:hint="eastAsia" w:ascii="Times New Roman" w:hAnsi="Times New Roman" w:eastAsia="仿宋_GB2312"/>
          <w:sz w:val="28"/>
          <w:szCs w:val="28"/>
        </w:rPr>
        <w:t>所有获得推免生资格者，由学校统一将名单上报到教育部规定管理平台。学生在管理平台中自行完成网上报名、复试、录取等流程。</w:t>
      </w:r>
    </w:p>
    <w:p w14:paraId="05D89F90">
      <w:pPr>
        <w:spacing w:line="560" w:lineRule="exact"/>
        <w:ind w:firstLine="562" w:firstLineChars="200"/>
        <w:rPr>
          <w:rFonts w:ascii="Times New Roman" w:hAnsi="Times New Roman" w:eastAsia="仿宋_GB2312"/>
          <w:sz w:val="28"/>
          <w:szCs w:val="28"/>
        </w:rPr>
      </w:pPr>
      <w:r>
        <w:rPr>
          <w:rFonts w:hint="eastAsia" w:ascii="Times New Roman" w:hAnsi="Times New Roman" w:eastAsia="仿宋_GB2312"/>
          <w:b/>
          <w:sz w:val="28"/>
          <w:szCs w:val="28"/>
        </w:rPr>
        <w:t>第十</w:t>
      </w:r>
      <w:r>
        <w:rPr>
          <w:rFonts w:hint="eastAsia" w:ascii="Times New Roman" w:hAnsi="Times New Roman" w:eastAsia="仿宋_GB2312"/>
          <w:b/>
          <w:sz w:val="28"/>
          <w:szCs w:val="28"/>
          <w:lang w:eastAsia="zh-CN"/>
        </w:rPr>
        <w:t>六</w:t>
      </w:r>
      <w:r>
        <w:rPr>
          <w:rFonts w:hint="eastAsia" w:ascii="Times New Roman" w:hAnsi="Times New Roman" w:eastAsia="仿宋_GB2312"/>
          <w:b/>
          <w:sz w:val="28"/>
          <w:szCs w:val="28"/>
        </w:rPr>
        <w:t>条</w:t>
      </w:r>
      <w:r>
        <w:rPr>
          <w:rFonts w:ascii="Times New Roman" w:hAnsi="Times New Roman" w:eastAsia="仿宋_GB2312"/>
          <w:sz w:val="28"/>
          <w:szCs w:val="28"/>
        </w:rPr>
        <w:t xml:space="preserve">  </w:t>
      </w:r>
      <w:r>
        <w:rPr>
          <w:rFonts w:hint="eastAsia" w:ascii="Times New Roman" w:hAnsi="Times New Roman" w:eastAsia="仿宋_GB2312"/>
          <w:sz w:val="28"/>
          <w:szCs w:val="28"/>
        </w:rPr>
        <w:t>推免生取得资格后自愿到其它学校就读的，由本人自行联系，教务处负责出具相关证明。在本科学习期间，推免生仍按本科生管理规定进行管理。</w:t>
      </w:r>
    </w:p>
    <w:p w14:paraId="660BD87D">
      <w:pPr>
        <w:pStyle w:val="3"/>
        <w:spacing w:before="312" w:after="312"/>
      </w:pPr>
      <w:r>
        <w:t>第</w:t>
      </w:r>
      <w:r>
        <w:rPr>
          <w:rFonts w:hint="eastAsia"/>
        </w:rPr>
        <w:t>六</w:t>
      </w:r>
      <w:r>
        <w:t xml:space="preserve">章  </w:t>
      </w:r>
      <w:r>
        <w:rPr>
          <w:rFonts w:hint="eastAsia"/>
        </w:rPr>
        <w:t>附则</w:t>
      </w:r>
    </w:p>
    <w:p w14:paraId="15F96035">
      <w:pPr>
        <w:spacing w:line="560" w:lineRule="exact"/>
        <w:ind w:firstLine="562" w:firstLineChars="200"/>
        <w:rPr>
          <w:rFonts w:ascii="Times New Roman" w:hAnsi="Times New Roman" w:eastAsia="仿宋_GB2312"/>
          <w:sz w:val="28"/>
          <w:szCs w:val="28"/>
        </w:rPr>
      </w:pPr>
      <w:r>
        <w:rPr>
          <w:rFonts w:hint="eastAsia" w:ascii="Times New Roman" w:hAnsi="Times New Roman" w:eastAsia="仿宋_GB2312"/>
          <w:b/>
          <w:sz w:val="28"/>
          <w:szCs w:val="28"/>
        </w:rPr>
        <w:t>第十</w:t>
      </w:r>
      <w:r>
        <w:rPr>
          <w:rFonts w:hint="eastAsia" w:ascii="Times New Roman" w:hAnsi="Times New Roman" w:eastAsia="仿宋_GB2312"/>
          <w:b/>
          <w:sz w:val="28"/>
          <w:szCs w:val="28"/>
          <w:lang w:eastAsia="zh-CN"/>
        </w:rPr>
        <w:t>七</w:t>
      </w:r>
      <w:r>
        <w:rPr>
          <w:rFonts w:hint="eastAsia" w:ascii="Times New Roman" w:hAnsi="Times New Roman" w:eastAsia="仿宋_GB2312"/>
          <w:b/>
          <w:sz w:val="28"/>
          <w:szCs w:val="28"/>
        </w:rPr>
        <w:t>条</w:t>
      </w:r>
      <w:r>
        <w:rPr>
          <w:rFonts w:ascii="Times New Roman" w:hAnsi="Times New Roman" w:eastAsia="仿宋_GB2312"/>
          <w:sz w:val="28"/>
          <w:szCs w:val="28"/>
        </w:rPr>
        <w:t xml:space="preserve">  </w:t>
      </w:r>
      <w:r>
        <w:rPr>
          <w:rFonts w:hint="eastAsia" w:ascii="Times New Roman" w:hAnsi="Times New Roman" w:eastAsia="仿宋_GB2312"/>
          <w:sz w:val="28"/>
          <w:szCs w:val="28"/>
        </w:rPr>
        <w:t>如国家政策规定发生变化，学校可依据政策规定变化对当年推免工作进行调整。</w:t>
      </w:r>
    </w:p>
    <w:p w14:paraId="6D9ECB41">
      <w:pPr>
        <w:spacing w:line="560" w:lineRule="exact"/>
        <w:ind w:firstLine="562" w:firstLineChars="200"/>
        <w:rPr>
          <w:rFonts w:ascii="Times New Roman" w:hAnsi="Times New Roman" w:eastAsia="仿宋_GB2312"/>
          <w:sz w:val="28"/>
          <w:szCs w:val="28"/>
        </w:rPr>
      </w:pPr>
      <w:r>
        <w:rPr>
          <w:rFonts w:hint="eastAsia" w:ascii="Times New Roman" w:hAnsi="Times New Roman" w:eastAsia="仿宋_GB2312"/>
          <w:b/>
          <w:sz w:val="28"/>
          <w:szCs w:val="28"/>
        </w:rPr>
        <w:t>第十</w:t>
      </w:r>
      <w:r>
        <w:rPr>
          <w:rFonts w:hint="eastAsia" w:ascii="Times New Roman" w:hAnsi="Times New Roman" w:eastAsia="仿宋_GB2312"/>
          <w:b/>
          <w:sz w:val="28"/>
          <w:szCs w:val="28"/>
          <w:lang w:eastAsia="zh-CN"/>
        </w:rPr>
        <w:t>八</w:t>
      </w:r>
      <w:r>
        <w:rPr>
          <w:rFonts w:hint="eastAsia" w:ascii="Times New Roman" w:hAnsi="Times New Roman" w:eastAsia="仿宋_GB2312"/>
          <w:b/>
          <w:sz w:val="28"/>
          <w:szCs w:val="28"/>
        </w:rPr>
        <w:t>条</w:t>
      </w:r>
      <w:r>
        <w:rPr>
          <w:rFonts w:ascii="Times New Roman" w:hAnsi="Times New Roman" w:eastAsia="仿宋_GB2312"/>
          <w:sz w:val="28"/>
          <w:szCs w:val="28"/>
        </w:rPr>
        <w:t xml:space="preserve">  </w:t>
      </w:r>
      <w:r>
        <w:rPr>
          <w:rFonts w:hint="eastAsia" w:ascii="Times New Roman" w:hAnsi="Times New Roman" w:eastAsia="仿宋_GB2312"/>
          <w:sz w:val="28"/>
          <w:szCs w:val="28"/>
        </w:rPr>
        <w:t>研究生支教团的管理办法由校团委另行制定。公示期结束后，获得推荐免试研究生资格的同学，不能再参加研究生支教团选拔。</w:t>
      </w:r>
    </w:p>
    <w:p w14:paraId="30D3D57B">
      <w:pPr>
        <w:spacing w:line="560" w:lineRule="exact"/>
        <w:ind w:firstLine="562" w:firstLineChars="200"/>
        <w:rPr>
          <w:rFonts w:ascii="Times New Roman" w:hAnsi="Times New Roman" w:eastAsia="仿宋_GB2312"/>
          <w:b/>
          <w:sz w:val="28"/>
          <w:szCs w:val="28"/>
        </w:rPr>
      </w:pPr>
      <w:r>
        <w:rPr>
          <w:rFonts w:hint="eastAsia" w:ascii="Times New Roman" w:hAnsi="Times New Roman" w:eastAsia="仿宋_GB2312"/>
          <w:b/>
          <w:sz w:val="28"/>
          <w:szCs w:val="28"/>
        </w:rPr>
        <w:t>第</w:t>
      </w:r>
      <w:r>
        <w:rPr>
          <w:rFonts w:hint="eastAsia" w:ascii="Times New Roman" w:hAnsi="Times New Roman" w:eastAsia="仿宋_GB2312"/>
          <w:b/>
          <w:sz w:val="28"/>
          <w:szCs w:val="28"/>
          <w:lang w:eastAsia="zh-CN"/>
        </w:rPr>
        <w:t>十九</w:t>
      </w:r>
      <w:r>
        <w:rPr>
          <w:rFonts w:hint="eastAsia" w:ascii="Times New Roman" w:hAnsi="Times New Roman" w:eastAsia="仿宋_GB2312"/>
          <w:b/>
          <w:sz w:val="28"/>
          <w:szCs w:val="28"/>
        </w:rPr>
        <w:t>条</w:t>
      </w:r>
      <w:r>
        <w:rPr>
          <w:rFonts w:ascii="Times New Roman" w:hAnsi="Times New Roman" w:eastAsia="仿宋_GB2312"/>
          <w:sz w:val="28"/>
          <w:szCs w:val="28"/>
        </w:rPr>
        <w:t xml:space="preserve">  </w:t>
      </w:r>
      <w:r>
        <w:rPr>
          <w:rFonts w:hint="eastAsia" w:ascii="Times New Roman" w:hAnsi="Times New Roman" w:eastAsia="仿宋_GB2312"/>
          <w:sz w:val="28"/>
          <w:szCs w:val="28"/>
        </w:rPr>
        <w:t>本细则适用于2022级。原《西南财经大学工商管理学院推荐免试研究生实施细则》同时废止。</w:t>
      </w:r>
    </w:p>
    <w:p w14:paraId="54729E40">
      <w:pPr>
        <w:spacing w:line="560" w:lineRule="exact"/>
        <w:ind w:firstLine="562" w:firstLineChars="200"/>
        <w:rPr>
          <w:rFonts w:ascii="Times New Roman" w:hAnsi="Times New Roman" w:eastAsia="仿宋_GB2312"/>
          <w:sz w:val="28"/>
        </w:rPr>
      </w:pPr>
      <w:r>
        <w:rPr>
          <w:rFonts w:hint="eastAsia" w:ascii="Times New Roman" w:hAnsi="Times New Roman" w:eastAsia="仿宋_GB2312"/>
          <w:b/>
          <w:sz w:val="28"/>
          <w:szCs w:val="28"/>
        </w:rPr>
        <w:t>第二十条</w:t>
      </w:r>
      <w:r>
        <w:rPr>
          <w:rFonts w:ascii="Times New Roman" w:hAnsi="Times New Roman" w:eastAsia="仿宋_GB2312"/>
          <w:sz w:val="28"/>
          <w:szCs w:val="28"/>
        </w:rPr>
        <w:t xml:space="preserve">  </w:t>
      </w:r>
      <w:r>
        <w:rPr>
          <w:rFonts w:hint="eastAsia" w:ascii="Times New Roman" w:hAnsi="Times New Roman" w:eastAsia="仿宋_GB2312"/>
          <w:sz w:val="28"/>
          <w:szCs w:val="28"/>
        </w:rPr>
        <w:t>本细则由西南财经大学工商管理学院党政联席会负责解释。</w:t>
      </w:r>
    </w:p>
    <w:p w14:paraId="2C3FDB25"/>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1445879"/>
      <w:docPartObj>
        <w:docPartGallery w:val="autotext"/>
      </w:docPartObj>
    </w:sdtPr>
    <w:sdtContent>
      <w:p w14:paraId="7108CB24">
        <w:pPr>
          <w:pStyle w:val="6"/>
          <w:jc w:val="center"/>
        </w:pPr>
        <w:r>
          <w:fldChar w:fldCharType="begin"/>
        </w:r>
        <w:r>
          <w:instrText xml:space="preserve">PAGE   \* MERGEFORMAT</w:instrText>
        </w:r>
        <w:r>
          <w:fldChar w:fldCharType="separate"/>
        </w:r>
        <w:r>
          <w:rPr>
            <w:lang w:val="zh-CN"/>
          </w:rPr>
          <w:t>10</w:t>
        </w:r>
        <w:r>
          <w:fldChar w:fldCharType="end"/>
        </w:r>
      </w:p>
    </w:sdtContent>
  </w:sdt>
  <w:p w14:paraId="77CF6CE1">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EEF"/>
    <w:rsid w:val="00010C78"/>
    <w:rsid w:val="00013C16"/>
    <w:rsid w:val="00033793"/>
    <w:rsid w:val="000A3932"/>
    <w:rsid w:val="000A65DB"/>
    <w:rsid w:val="000B1B41"/>
    <w:rsid w:val="000E121C"/>
    <w:rsid w:val="00124DC8"/>
    <w:rsid w:val="001A3119"/>
    <w:rsid w:val="001E0872"/>
    <w:rsid w:val="00254894"/>
    <w:rsid w:val="00290E47"/>
    <w:rsid w:val="0029701A"/>
    <w:rsid w:val="002A3E66"/>
    <w:rsid w:val="002B4936"/>
    <w:rsid w:val="002C752E"/>
    <w:rsid w:val="0030070E"/>
    <w:rsid w:val="003247E3"/>
    <w:rsid w:val="00376B26"/>
    <w:rsid w:val="00384306"/>
    <w:rsid w:val="003B0ADB"/>
    <w:rsid w:val="003B1042"/>
    <w:rsid w:val="0042035C"/>
    <w:rsid w:val="00433C61"/>
    <w:rsid w:val="004C59CF"/>
    <w:rsid w:val="004C706C"/>
    <w:rsid w:val="004D5768"/>
    <w:rsid w:val="005244F4"/>
    <w:rsid w:val="005C2745"/>
    <w:rsid w:val="005E2077"/>
    <w:rsid w:val="00612AA5"/>
    <w:rsid w:val="0065712C"/>
    <w:rsid w:val="006C337F"/>
    <w:rsid w:val="006F0574"/>
    <w:rsid w:val="00746E29"/>
    <w:rsid w:val="00766B3C"/>
    <w:rsid w:val="00787A99"/>
    <w:rsid w:val="007C5991"/>
    <w:rsid w:val="008014DB"/>
    <w:rsid w:val="0080223D"/>
    <w:rsid w:val="00823365"/>
    <w:rsid w:val="008A316B"/>
    <w:rsid w:val="008A5ED6"/>
    <w:rsid w:val="00951B88"/>
    <w:rsid w:val="00976E7D"/>
    <w:rsid w:val="00995070"/>
    <w:rsid w:val="009965C8"/>
    <w:rsid w:val="009A4818"/>
    <w:rsid w:val="009C2144"/>
    <w:rsid w:val="00A025C0"/>
    <w:rsid w:val="00A467F1"/>
    <w:rsid w:val="00A735FF"/>
    <w:rsid w:val="00AC2528"/>
    <w:rsid w:val="00AC4BDD"/>
    <w:rsid w:val="00B378BE"/>
    <w:rsid w:val="00B41EEF"/>
    <w:rsid w:val="00B4749D"/>
    <w:rsid w:val="00BE57E1"/>
    <w:rsid w:val="00C14C9E"/>
    <w:rsid w:val="00C37097"/>
    <w:rsid w:val="00C371E3"/>
    <w:rsid w:val="00C56A11"/>
    <w:rsid w:val="00C56F52"/>
    <w:rsid w:val="00C57B21"/>
    <w:rsid w:val="00C74C1E"/>
    <w:rsid w:val="00C95F16"/>
    <w:rsid w:val="00D250BC"/>
    <w:rsid w:val="00D82AE6"/>
    <w:rsid w:val="00D905EC"/>
    <w:rsid w:val="00D96B3C"/>
    <w:rsid w:val="00DB47E8"/>
    <w:rsid w:val="00DE5CDC"/>
    <w:rsid w:val="00E07A7E"/>
    <w:rsid w:val="00E3739E"/>
    <w:rsid w:val="00E44847"/>
    <w:rsid w:val="00E6101F"/>
    <w:rsid w:val="00E90BBD"/>
    <w:rsid w:val="00EA73B6"/>
    <w:rsid w:val="00EB3745"/>
    <w:rsid w:val="00ED2A03"/>
    <w:rsid w:val="00EF1694"/>
    <w:rsid w:val="00F05F06"/>
    <w:rsid w:val="00F223D1"/>
    <w:rsid w:val="00F23EA0"/>
    <w:rsid w:val="00F71AD2"/>
    <w:rsid w:val="00FC318A"/>
    <w:rsid w:val="00FE3F86"/>
    <w:rsid w:val="4A5316D6"/>
    <w:rsid w:val="68B046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nhideWhenUsed="0" w:uiPriority="9"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1"/>
      <w:lang w:val="en-US" w:eastAsia="zh-CN" w:bidi="ar-SA"/>
    </w:rPr>
  </w:style>
  <w:style w:type="paragraph" w:styleId="2">
    <w:name w:val="heading 1"/>
    <w:basedOn w:val="1"/>
    <w:next w:val="1"/>
    <w:link w:val="11"/>
    <w:qFormat/>
    <w:uiPriority w:val="9"/>
    <w:pPr>
      <w:spacing w:before="720" w:beforeLines="300" w:after="240" w:afterLines="100" w:line="700" w:lineRule="exact"/>
      <w:jc w:val="center"/>
      <w:outlineLvl w:val="0"/>
    </w:pPr>
    <w:rPr>
      <w:rFonts w:ascii="Times New Roman" w:hAnsi="Times New Roman" w:eastAsia="华文中宋"/>
      <w:b/>
      <w:sz w:val="44"/>
      <w:szCs w:val="44"/>
    </w:rPr>
  </w:style>
  <w:style w:type="paragraph" w:styleId="3">
    <w:name w:val="heading 2"/>
    <w:basedOn w:val="1"/>
    <w:next w:val="1"/>
    <w:link w:val="12"/>
    <w:unhideWhenUsed/>
    <w:qFormat/>
    <w:uiPriority w:val="9"/>
    <w:pPr>
      <w:keepNext/>
      <w:keepLines/>
      <w:spacing w:before="240" w:beforeLines="100" w:after="240" w:afterLines="100" w:line="560" w:lineRule="exact"/>
      <w:jc w:val="center"/>
      <w:outlineLvl w:val="1"/>
    </w:pPr>
    <w:rPr>
      <w:rFonts w:ascii="Times New Roman" w:hAnsi="Times New Roman" w:eastAsia="黑体" w:cs="Times New Roman"/>
      <w:b/>
      <w:sz w:val="32"/>
      <w:szCs w:val="32"/>
    </w:rPr>
  </w:style>
  <w:style w:type="paragraph" w:styleId="4">
    <w:name w:val="heading 7"/>
    <w:basedOn w:val="1"/>
    <w:next w:val="1"/>
    <w:link w:val="13"/>
    <w:qFormat/>
    <w:uiPriority w:val="9"/>
    <w:pPr>
      <w:spacing w:line="560" w:lineRule="exact"/>
      <w:jc w:val="center"/>
      <w:outlineLvl w:val="6"/>
    </w:pPr>
    <w:rPr>
      <w:rFonts w:ascii="Times New Roman" w:hAnsi="Times New Roman" w:eastAsia="楷体_GB2312"/>
      <w:b/>
      <w:sz w:val="28"/>
    </w:rPr>
  </w:style>
  <w:style w:type="character" w:default="1" w:styleId="10">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5">
    <w:name w:val="Balloon Text"/>
    <w:basedOn w:val="1"/>
    <w:link w:val="18"/>
    <w:semiHidden/>
    <w:unhideWhenUsed/>
    <w:uiPriority w:val="99"/>
    <w:rPr>
      <w:sz w:val="18"/>
      <w:szCs w:val="18"/>
    </w:rPr>
  </w:style>
  <w:style w:type="paragraph" w:styleId="6">
    <w:name w:val="footer"/>
    <w:basedOn w:val="1"/>
    <w:link w:val="20"/>
    <w:unhideWhenUsed/>
    <w:uiPriority w:val="99"/>
    <w:pPr>
      <w:tabs>
        <w:tab w:val="center" w:pos="4153"/>
        <w:tab w:val="right" w:pos="8306"/>
      </w:tabs>
      <w:snapToGrid w:val="0"/>
      <w:jc w:val="left"/>
    </w:pPr>
    <w:rPr>
      <w:sz w:val="18"/>
      <w:szCs w:val="18"/>
    </w:rPr>
  </w:style>
  <w:style w:type="paragraph" w:styleId="7">
    <w:name w:val="header"/>
    <w:basedOn w:val="1"/>
    <w:link w:val="19"/>
    <w:unhideWhenUsed/>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3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标题 1 字符"/>
    <w:basedOn w:val="10"/>
    <w:link w:val="2"/>
    <w:qFormat/>
    <w:uiPriority w:val="9"/>
    <w:rPr>
      <w:rFonts w:ascii="Times New Roman" w:hAnsi="Times New Roman" w:eastAsia="华文中宋"/>
      <w:b/>
      <w:sz w:val="44"/>
      <w:szCs w:val="44"/>
    </w:rPr>
  </w:style>
  <w:style w:type="character" w:customStyle="1" w:styleId="12">
    <w:name w:val="标题 2 字符"/>
    <w:basedOn w:val="10"/>
    <w:link w:val="3"/>
    <w:qFormat/>
    <w:uiPriority w:val="9"/>
    <w:rPr>
      <w:rFonts w:ascii="Times New Roman" w:hAnsi="Times New Roman" w:eastAsia="黑体" w:cs="Times New Roman"/>
      <w:b/>
      <w:sz w:val="32"/>
      <w:szCs w:val="32"/>
    </w:rPr>
  </w:style>
  <w:style w:type="character" w:customStyle="1" w:styleId="13">
    <w:name w:val="标题 7 字符"/>
    <w:basedOn w:val="10"/>
    <w:link w:val="4"/>
    <w:qFormat/>
    <w:uiPriority w:val="9"/>
    <w:rPr>
      <w:rFonts w:ascii="Times New Roman" w:hAnsi="Times New Roman" w:eastAsia="楷体_GB2312"/>
      <w:b/>
      <w:sz w:val="28"/>
      <w:szCs w:val="21"/>
    </w:rPr>
  </w:style>
  <w:style w:type="paragraph" w:customStyle="1" w:styleId="14">
    <w:name w:val="表头"/>
    <w:basedOn w:val="1"/>
    <w:link w:val="15"/>
    <w:qFormat/>
    <w:uiPriority w:val="0"/>
    <w:pPr>
      <w:spacing w:before="120" w:beforeLines="50" w:after="120" w:afterLines="50"/>
      <w:jc w:val="center"/>
    </w:pPr>
    <w:rPr>
      <w:rFonts w:ascii="Times New Roman" w:hAnsi="Times New Roman" w:eastAsia="黑体"/>
      <w:b/>
    </w:rPr>
  </w:style>
  <w:style w:type="character" w:customStyle="1" w:styleId="15">
    <w:name w:val="表头 Char"/>
    <w:basedOn w:val="10"/>
    <w:link w:val="14"/>
    <w:qFormat/>
    <w:uiPriority w:val="0"/>
    <w:rPr>
      <w:rFonts w:ascii="Times New Roman" w:hAnsi="Times New Roman" w:eastAsia="黑体"/>
      <w:b/>
      <w:szCs w:val="21"/>
    </w:rPr>
  </w:style>
  <w:style w:type="paragraph" w:customStyle="1" w:styleId="16">
    <w:name w:val="表格"/>
    <w:basedOn w:val="1"/>
    <w:link w:val="17"/>
    <w:qFormat/>
    <w:uiPriority w:val="0"/>
    <w:pPr>
      <w:jc w:val="center"/>
    </w:pPr>
    <w:rPr>
      <w:rFonts w:ascii="Times New Roman" w:hAnsi="Times New Roman" w:eastAsia="仿宋_GB2312"/>
      <w:kern w:val="0"/>
    </w:rPr>
  </w:style>
  <w:style w:type="character" w:customStyle="1" w:styleId="17">
    <w:name w:val="表格 Char"/>
    <w:basedOn w:val="10"/>
    <w:link w:val="16"/>
    <w:qFormat/>
    <w:uiPriority w:val="0"/>
    <w:rPr>
      <w:rFonts w:ascii="Times New Roman" w:hAnsi="Times New Roman" w:eastAsia="仿宋_GB2312"/>
      <w:kern w:val="0"/>
      <w:szCs w:val="21"/>
    </w:rPr>
  </w:style>
  <w:style w:type="character" w:customStyle="1" w:styleId="18">
    <w:name w:val="批注框文本 字符"/>
    <w:basedOn w:val="10"/>
    <w:link w:val="5"/>
    <w:semiHidden/>
    <w:uiPriority w:val="99"/>
    <w:rPr>
      <w:sz w:val="18"/>
      <w:szCs w:val="18"/>
    </w:rPr>
  </w:style>
  <w:style w:type="character" w:customStyle="1" w:styleId="19">
    <w:name w:val="页眉 字符"/>
    <w:basedOn w:val="10"/>
    <w:link w:val="7"/>
    <w:qFormat/>
    <w:uiPriority w:val="99"/>
    <w:rPr>
      <w:sz w:val="18"/>
      <w:szCs w:val="18"/>
    </w:rPr>
  </w:style>
  <w:style w:type="character" w:customStyle="1" w:styleId="20">
    <w:name w:val="页脚 字符"/>
    <w:basedOn w:val="10"/>
    <w:link w:val="6"/>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14</Pages>
  <Words>3062</Words>
  <Characters>3181</Characters>
  <Lines>57</Lines>
  <Paragraphs>16</Paragraphs>
  <TotalTime>70</TotalTime>
  <ScaleCrop>false</ScaleCrop>
  <LinksUpToDate>false</LinksUpToDate>
  <CharactersWithSpaces>3211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2022-11-16T02:00:00Z</dcterms:created>
  <dc:creator>juanjuan</dc:creator>
  <cp:lastModifiedBy>大雄</cp:lastModifiedBy>
  <cp:lastPrinted>2022-11-18T05:21:00Z</cp:lastPrinted>
  <dcterms:modified xsi:type="dcterms:W3CDTF">2025-06-30T03:04:49Z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eyJoZGlkIjoiYzY4ZTBlMDIxNGQ2ZGZhZGRjMDllOWM3OWFjMThlZjMiLCJ1c2VySWQiOiI0ODY4Njc5NTcifQ==</vt:lpwstr>
  </property>
  <property fmtid="{D5CDD505-2E9C-101B-9397-08002B2CF9AE}" pid="3" name="KSOProductBuildVer">
    <vt:lpwstr>2052-12.1.0.21541</vt:lpwstr>
  </property>
  <property fmtid="{D5CDD505-2E9C-101B-9397-08002B2CF9AE}" pid="4" name="ICV">
    <vt:lpwstr>96431C961A2740B2B4C9B0D1AC7FC263_12</vt:lpwstr>
  </property>
</Properties>
</file>